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2BC90" w14:textId="7872DC3F" w:rsidR="00350715" w:rsidRDefault="00350715" w:rsidP="001F5924">
      <w:pPr>
        <w:bidi/>
        <w:spacing w:line="240" w:lineRule="auto"/>
        <w:jc w:val="both"/>
        <w:rPr>
          <w:rFonts w:ascii="Sakkal Majalla" w:hAnsi="Sakkal Majalla" w:cs="Sakkal Majalla"/>
          <w:sz w:val="28"/>
          <w:szCs w:val="28"/>
          <w:rtl/>
          <w:lang w:bidi="ar-KW"/>
        </w:rPr>
      </w:pPr>
    </w:p>
    <w:p w14:paraId="728C8CD0" w14:textId="77777777" w:rsidR="00350715" w:rsidRDefault="00350715" w:rsidP="001F5924">
      <w:pPr>
        <w:bidi/>
        <w:spacing w:after="120" w:line="240" w:lineRule="auto"/>
        <w:jc w:val="both"/>
        <w:rPr>
          <w:rFonts w:ascii="Sakkal Majalla" w:hAnsi="Sakkal Majalla" w:cs="mohammad bold art 1"/>
          <w:b/>
          <w:bCs/>
          <w:u w:val="single"/>
          <w:rtl/>
          <w:lang w:bidi="ar-KW"/>
        </w:rPr>
      </w:pPr>
    </w:p>
    <w:p w14:paraId="1502EE24" w14:textId="77777777" w:rsidR="00350715" w:rsidRDefault="00350715" w:rsidP="001F5924">
      <w:pPr>
        <w:bidi/>
        <w:spacing w:after="120" w:line="240" w:lineRule="auto"/>
        <w:jc w:val="both"/>
        <w:rPr>
          <w:rFonts w:ascii="Sakkal Majalla" w:hAnsi="Sakkal Majalla" w:cs="mohammad bold art 1"/>
          <w:b/>
          <w:bCs/>
          <w:u w:val="single"/>
          <w:rtl/>
          <w:lang w:bidi="ar-KW"/>
        </w:rPr>
      </w:pPr>
    </w:p>
    <w:p w14:paraId="2C76A82E" w14:textId="77777777" w:rsidR="00350715" w:rsidRPr="001F5924" w:rsidRDefault="00350715" w:rsidP="001F5924">
      <w:pPr>
        <w:bidi/>
        <w:spacing w:line="240" w:lineRule="auto"/>
        <w:jc w:val="both"/>
        <w:rPr>
          <w:rFonts w:ascii="Sakkal Majalla" w:hAnsi="Sakkal Majalla" w:cs="Sakkal Majalla"/>
          <w:sz w:val="28"/>
          <w:szCs w:val="28"/>
          <w:lang w:bidi="ar-KW"/>
        </w:rPr>
      </w:pPr>
    </w:p>
    <w:p w14:paraId="5F1EC307" w14:textId="77777777" w:rsidR="00072368" w:rsidRDefault="00072368" w:rsidP="00350715">
      <w:pPr>
        <w:pStyle w:val="ListParagraph"/>
        <w:bidi/>
        <w:spacing w:line="240" w:lineRule="auto"/>
        <w:ind w:left="270"/>
        <w:jc w:val="both"/>
        <w:rPr>
          <w:rFonts w:ascii="Sakkal Majalla" w:hAnsi="Sakkal Majalla" w:cs="Sakkal Majalla"/>
          <w:sz w:val="28"/>
          <w:szCs w:val="28"/>
          <w:rtl/>
          <w:lang w:bidi="ar-KW"/>
        </w:rPr>
      </w:pPr>
    </w:p>
    <w:p w14:paraId="3A2CC6F9" w14:textId="77777777" w:rsidR="00893236" w:rsidRDefault="00893236" w:rsidP="00350715">
      <w:pPr>
        <w:pStyle w:val="ListParagraph"/>
        <w:bidi/>
        <w:spacing w:line="240" w:lineRule="auto"/>
        <w:ind w:left="270"/>
        <w:jc w:val="both"/>
        <w:rPr>
          <w:rFonts w:ascii="Sakkal Majalla" w:hAnsi="Sakkal Majalla" w:cs="Sakkal Majalla"/>
          <w:sz w:val="28"/>
          <w:szCs w:val="28"/>
          <w:rtl/>
          <w:lang w:bidi="ar-KW"/>
        </w:rPr>
      </w:pPr>
    </w:p>
    <w:p w14:paraId="62DA19B8" w14:textId="77777777" w:rsidR="00893236" w:rsidRDefault="00893236" w:rsidP="00350715">
      <w:pPr>
        <w:pStyle w:val="ListParagraph"/>
        <w:bidi/>
        <w:spacing w:line="240" w:lineRule="auto"/>
        <w:ind w:left="270"/>
        <w:jc w:val="both"/>
        <w:rPr>
          <w:rFonts w:ascii="Sakkal Majalla" w:hAnsi="Sakkal Majalla" w:cs="Sakkal Majalla"/>
          <w:sz w:val="28"/>
          <w:szCs w:val="28"/>
          <w:rtl/>
          <w:lang w:bidi="ar-KW"/>
        </w:rPr>
      </w:pPr>
    </w:p>
    <w:p w14:paraId="64198AD2" w14:textId="77777777" w:rsidR="00893236" w:rsidRDefault="00893236" w:rsidP="001F5924">
      <w:pPr>
        <w:pStyle w:val="ListParagraph"/>
        <w:bidi/>
        <w:spacing w:line="240" w:lineRule="auto"/>
        <w:ind w:left="270"/>
        <w:jc w:val="both"/>
        <w:rPr>
          <w:rFonts w:ascii="Sakkal Majalla" w:hAnsi="Sakkal Majalla" w:cs="Sakkal Majalla"/>
          <w:sz w:val="28"/>
          <w:szCs w:val="28"/>
          <w:rtl/>
          <w:lang w:bidi="ar-KW"/>
        </w:rPr>
      </w:pPr>
    </w:p>
    <w:p w14:paraId="42EF9878" w14:textId="77777777" w:rsidR="00893236" w:rsidRDefault="00893236" w:rsidP="001F5924">
      <w:pPr>
        <w:pStyle w:val="ListParagraph"/>
        <w:bidi/>
        <w:spacing w:line="240" w:lineRule="auto"/>
        <w:ind w:left="270"/>
        <w:jc w:val="both"/>
        <w:rPr>
          <w:rFonts w:ascii="Sakkal Majalla" w:hAnsi="Sakkal Majalla" w:cs="Sakkal Majalla"/>
          <w:sz w:val="28"/>
          <w:szCs w:val="28"/>
          <w:rtl/>
          <w:lang w:bidi="ar-KW"/>
        </w:rPr>
      </w:pPr>
    </w:p>
    <w:p w14:paraId="7CB908EF" w14:textId="77777777" w:rsidR="00893236" w:rsidRDefault="00893236" w:rsidP="001F5924">
      <w:pPr>
        <w:pStyle w:val="ListParagraph"/>
        <w:bidi/>
        <w:spacing w:line="240" w:lineRule="auto"/>
        <w:ind w:left="270"/>
        <w:jc w:val="both"/>
        <w:rPr>
          <w:rFonts w:ascii="Sakkal Majalla" w:hAnsi="Sakkal Majalla" w:cs="Sakkal Majalla"/>
          <w:sz w:val="28"/>
          <w:szCs w:val="28"/>
          <w:rtl/>
          <w:lang w:bidi="ar-KW"/>
        </w:rPr>
      </w:pPr>
    </w:p>
    <w:p w14:paraId="6198B4C1" w14:textId="77777777" w:rsidR="00893236" w:rsidRPr="00072368" w:rsidRDefault="00893236" w:rsidP="001F5924">
      <w:pPr>
        <w:pStyle w:val="ListParagraph"/>
        <w:bidi/>
        <w:spacing w:line="240" w:lineRule="auto"/>
        <w:ind w:left="270"/>
        <w:jc w:val="both"/>
        <w:rPr>
          <w:rFonts w:ascii="Sakkal Majalla" w:hAnsi="Sakkal Majalla" w:cs="Sakkal Majalla"/>
          <w:sz w:val="28"/>
          <w:szCs w:val="28"/>
          <w:rtl/>
          <w:lang w:bidi="ar-KW"/>
        </w:rPr>
      </w:pPr>
    </w:p>
    <w:bookmarkStart w:id="0" w:name="_GoBack"/>
    <w:bookmarkEnd w:id="0"/>
    <w:p w14:paraId="5EBC83AC" w14:textId="77777777" w:rsidR="00350715" w:rsidRPr="001D7394" w:rsidRDefault="00350715" w:rsidP="001F5924">
      <w:pPr>
        <w:bidi/>
        <w:jc w:val="both"/>
        <w:rPr>
          <w:rFonts w:asciiTheme="minorBidi" w:hAnsiTheme="minorBidi" w:cs="mohammad bold art 1"/>
          <w:color w:val="323E4F" w:themeColor="text2" w:themeShade="BF"/>
          <w:sz w:val="26"/>
          <w:szCs w:val="26"/>
          <w:rtl/>
        </w:rPr>
      </w:pPr>
      <w:r w:rsidRPr="001D7394">
        <w:rPr>
          <w:rFonts w:asciiTheme="minorBidi" w:hAnsiTheme="minorBidi" w:cs="mohammad bold art 1"/>
          <w:noProof/>
          <w:sz w:val="26"/>
          <w:szCs w:val="26"/>
        </w:rPr>
        <mc:AlternateContent>
          <mc:Choice Requires="wps">
            <w:drawing>
              <wp:anchor distT="91440" distB="91440" distL="114300" distR="114300" simplePos="0" relativeHeight="251659264" behindDoc="0" locked="0" layoutInCell="0" allowOverlap="1" wp14:anchorId="0F8250FD" wp14:editId="1569BAE0">
                <wp:simplePos x="0" y="0"/>
                <wp:positionH relativeFrom="page">
                  <wp:posOffset>6657975</wp:posOffset>
                </wp:positionH>
                <wp:positionV relativeFrom="margin">
                  <wp:posOffset>-133350</wp:posOffset>
                </wp:positionV>
                <wp:extent cx="704850" cy="9163050"/>
                <wp:effectExtent l="38100" t="38100" r="95250" b="95250"/>
                <wp:wrapSquare wrapText="bothSides"/>
                <wp:docPr id="364"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04850" cy="9163050"/>
                        </a:xfrm>
                        <a:prstGeom prst="rect">
                          <a:avLst/>
                        </a:prstGeom>
                        <a:solidFill>
                          <a:srgbClr val="4F81BD">
                            <a:lumMod val="20000"/>
                            <a:lumOff val="80000"/>
                          </a:srgbClr>
                        </a:solidFill>
                        <a:effectLst>
                          <a:outerShdw blurRad="50800" dist="38100" dir="2700000" algn="tl" rotWithShape="0">
                            <a:prstClr val="black">
                              <a:alpha val="40000"/>
                            </a:prstClr>
                          </a:outerShdw>
                        </a:effectLst>
                        <a:extLst/>
                      </wps:spPr>
                      <wps:txbx>
                        <w:txbxContent>
                          <w:p w14:paraId="7E2AB06A" w14:textId="77777777" w:rsidR="00350715" w:rsidRDefault="00350715" w:rsidP="00350715">
                            <w:pPr>
                              <w:rPr>
                                <w:color w:val="FFFFFF" w:themeColor="background1"/>
                                <w:sz w:val="18"/>
                                <w:szCs w:val="18"/>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0F8250FD" id="Rectangle 397" o:spid="_x0000_s1026" style="position:absolute;left:0;text-align:left;margin-left:524.25pt;margin-top:-10.5pt;width:55.5pt;height:721.5pt;flip:x;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" o:allowincell="f" fillcolor="#dce6f2" stroked="f">
                <v:shadow on="t" color="black" opacity="26214f" origin="-.5,-.5" offset=".74836mm,.74836mm"/>
                <v:textbox inset="21.6pt,21.6pt,21.6pt,21.6pt">
                  <w:txbxContent>
                    <w:p w14:paraId="7E2AB06A" w14:textId="77777777" w:rsidR="00350715" w:rsidRDefault="00350715" w:rsidP="00350715">
                      <w:pPr>
                        <w:rPr>
                          <w:color w:val="FFFFFF" w:themeColor="background1"/>
                          <w:sz w:val="18"/>
                          <w:szCs w:val="18"/>
                        </w:rPr>
                      </w:pPr>
                    </w:p>
                  </w:txbxContent>
                </v:textbox>
                <w10:wrap type="square" anchorx="page" anchory="margin"/>
              </v:rect>
            </w:pict>
          </mc:Fallback>
        </mc:AlternateContent>
      </w:r>
    </w:p>
    <w:p w14:paraId="01143933" w14:textId="455CD7B6" w:rsidR="00350715" w:rsidRPr="00E947FB" w:rsidRDefault="00350715" w:rsidP="00A05A27">
      <w:pPr>
        <w:bidi/>
        <w:jc w:val="both"/>
        <w:rPr>
          <w:rFonts w:ascii="Arial" w:eastAsia="Calibri" w:hAnsi="Arial" w:cs="mohammad bold art 1"/>
          <w:b/>
          <w:bCs/>
          <w:color w:val="767171" w:themeColor="background2" w:themeShade="80"/>
          <w:sz w:val="32"/>
          <w:szCs w:val="32"/>
          <w:lang w:bidi="ar-KW"/>
        </w:rPr>
      </w:pPr>
      <w:r w:rsidRPr="00E947FB">
        <w:rPr>
          <w:rFonts w:ascii="Arial" w:eastAsia="Calibri" w:hAnsi="Arial" w:cs="mohammad bold art 1" w:hint="cs"/>
          <w:b/>
          <w:bCs/>
          <w:color w:val="767171" w:themeColor="background2" w:themeShade="80"/>
          <w:sz w:val="32"/>
          <w:szCs w:val="32"/>
          <w:rtl/>
          <w:lang w:bidi="ar-KW"/>
        </w:rPr>
        <w:t xml:space="preserve">ملحق رقم </w:t>
      </w:r>
      <w:r>
        <w:rPr>
          <w:rFonts w:ascii="Arial" w:eastAsia="Calibri" w:hAnsi="Arial" w:cs="mohammad bold art 1" w:hint="cs"/>
          <w:b/>
          <w:bCs/>
          <w:color w:val="767171" w:themeColor="background2" w:themeShade="80"/>
          <w:sz w:val="32"/>
          <w:szCs w:val="32"/>
          <w:rtl/>
          <w:lang w:bidi="ar-KW"/>
        </w:rPr>
        <w:t>(</w:t>
      </w:r>
      <w:r w:rsidR="00A05A27">
        <w:rPr>
          <w:rFonts w:ascii="Arial" w:eastAsia="Calibri" w:hAnsi="Arial" w:cs="mohammad bold art 1" w:hint="cs"/>
          <w:b/>
          <w:bCs/>
          <w:color w:val="767171" w:themeColor="background2" w:themeShade="80"/>
          <w:sz w:val="32"/>
          <w:szCs w:val="32"/>
          <w:rtl/>
          <w:lang w:bidi="ar-KW"/>
        </w:rPr>
        <w:t>19</w:t>
      </w:r>
      <w:r>
        <w:rPr>
          <w:rFonts w:ascii="Arial" w:eastAsia="Calibri" w:hAnsi="Arial" w:cs="mohammad bold art 1" w:hint="cs"/>
          <w:b/>
          <w:bCs/>
          <w:color w:val="767171" w:themeColor="background2" w:themeShade="80"/>
          <w:sz w:val="32"/>
          <w:szCs w:val="32"/>
          <w:rtl/>
          <w:lang w:bidi="ar-KW"/>
        </w:rPr>
        <w:t>)</w:t>
      </w:r>
    </w:p>
    <w:p w14:paraId="7FE31996" w14:textId="77777777" w:rsidR="00350715" w:rsidRPr="001D7394" w:rsidRDefault="00350715" w:rsidP="001F5924">
      <w:pPr>
        <w:bidi/>
        <w:jc w:val="both"/>
        <w:rPr>
          <w:rFonts w:asciiTheme="minorBidi" w:hAnsiTheme="minorBidi" w:cs="mohammad bold art 1"/>
          <w:color w:val="323E4F" w:themeColor="text2" w:themeShade="BF"/>
          <w:sz w:val="26"/>
          <w:szCs w:val="26"/>
          <w:rtl/>
        </w:rPr>
      </w:pPr>
      <w:r w:rsidRPr="005A2F97">
        <w:rPr>
          <w:rFonts w:ascii="DiwanMuna-Bold" w:eastAsiaTheme="minorEastAsia" w:cs="DiwanMuna-Bold" w:hint="cs"/>
          <w:b/>
          <w:bCs/>
          <w:color w:val="0098FF"/>
          <w:sz w:val="34"/>
          <w:szCs w:val="34"/>
          <w:rtl/>
          <w:lang w:bidi="ar-YE"/>
        </w:rPr>
        <w:t xml:space="preserve">شروط وإجراءات </w:t>
      </w:r>
      <w:r w:rsidR="001F5924">
        <w:rPr>
          <w:rFonts w:ascii="DiwanMuna-Bold" w:eastAsiaTheme="minorEastAsia" w:cs="DiwanMuna-Bold" w:hint="cs"/>
          <w:b/>
          <w:bCs/>
          <w:color w:val="0098FF"/>
          <w:sz w:val="34"/>
          <w:szCs w:val="34"/>
          <w:rtl/>
          <w:lang w:bidi="ar-YE"/>
        </w:rPr>
        <w:t xml:space="preserve">إصدار </w:t>
      </w:r>
      <w:r w:rsidRPr="005A2F97">
        <w:rPr>
          <w:rFonts w:ascii="DiwanMuna-Bold" w:eastAsiaTheme="minorEastAsia" w:cs="DiwanMuna-Bold" w:hint="cs"/>
          <w:b/>
          <w:bCs/>
          <w:color w:val="0098FF"/>
          <w:sz w:val="34"/>
          <w:szCs w:val="34"/>
          <w:rtl/>
          <w:lang w:bidi="ar-YE"/>
        </w:rPr>
        <w:t>نظام خيار شراء الأسهم للموظفين</w:t>
      </w:r>
    </w:p>
    <w:p w14:paraId="46599B4F" w14:textId="77777777" w:rsidR="00350715" w:rsidRPr="001D7394" w:rsidRDefault="00350715" w:rsidP="001F5924">
      <w:pPr>
        <w:bidi/>
        <w:jc w:val="both"/>
        <w:rPr>
          <w:rFonts w:asciiTheme="minorBidi" w:hAnsiTheme="minorBidi" w:cs="mohammad bold art 1"/>
          <w:color w:val="323E4F" w:themeColor="text2" w:themeShade="BF"/>
          <w:sz w:val="26"/>
          <w:szCs w:val="26"/>
          <w:rtl/>
        </w:rPr>
      </w:pPr>
    </w:p>
    <w:p w14:paraId="76A808D4" w14:textId="77777777" w:rsidR="00350715" w:rsidRPr="001D7394" w:rsidRDefault="00350715" w:rsidP="001F5924">
      <w:pPr>
        <w:bidi/>
        <w:jc w:val="both"/>
        <w:rPr>
          <w:rFonts w:asciiTheme="minorBidi" w:hAnsiTheme="minorBidi" w:cs="mohammad bold art 1"/>
          <w:color w:val="323E4F" w:themeColor="text2" w:themeShade="BF"/>
          <w:sz w:val="26"/>
          <w:szCs w:val="26"/>
          <w:rtl/>
          <w:lang w:bidi="ar-KW"/>
        </w:rPr>
      </w:pPr>
    </w:p>
    <w:p w14:paraId="276792C5" w14:textId="77777777" w:rsidR="00350715" w:rsidRPr="001D7394" w:rsidRDefault="00350715" w:rsidP="001F5924">
      <w:pPr>
        <w:bidi/>
        <w:jc w:val="both"/>
        <w:rPr>
          <w:rFonts w:asciiTheme="minorBidi" w:hAnsiTheme="minorBidi" w:cs="mohammad bold art 1"/>
          <w:color w:val="323E4F" w:themeColor="text2" w:themeShade="BF"/>
          <w:sz w:val="26"/>
          <w:szCs w:val="26"/>
          <w:rtl/>
        </w:rPr>
      </w:pPr>
    </w:p>
    <w:p w14:paraId="4B765CD1" w14:textId="77777777" w:rsidR="00350715" w:rsidRPr="001D7394" w:rsidRDefault="00350715" w:rsidP="001F5924">
      <w:pPr>
        <w:bidi/>
        <w:jc w:val="both"/>
        <w:rPr>
          <w:rFonts w:asciiTheme="minorBidi" w:hAnsiTheme="minorBidi" w:cs="mohammad bold art 1"/>
          <w:color w:val="323E4F" w:themeColor="text2" w:themeShade="BF"/>
          <w:sz w:val="26"/>
          <w:szCs w:val="26"/>
          <w:rtl/>
        </w:rPr>
      </w:pPr>
    </w:p>
    <w:p w14:paraId="16D3A22F" w14:textId="77777777" w:rsidR="00350715" w:rsidRPr="001D7394" w:rsidRDefault="00350715" w:rsidP="001F5924">
      <w:pPr>
        <w:bidi/>
        <w:jc w:val="both"/>
        <w:rPr>
          <w:rFonts w:asciiTheme="minorBidi" w:hAnsiTheme="minorBidi" w:cs="mohammad bold art 1"/>
          <w:color w:val="323E4F" w:themeColor="text2" w:themeShade="BF"/>
          <w:sz w:val="26"/>
          <w:szCs w:val="26"/>
          <w:rtl/>
        </w:rPr>
      </w:pPr>
    </w:p>
    <w:p w14:paraId="500199E6" w14:textId="77777777" w:rsidR="00350715" w:rsidRPr="001D7394" w:rsidRDefault="00350715" w:rsidP="001F5924">
      <w:pPr>
        <w:bidi/>
        <w:jc w:val="both"/>
        <w:rPr>
          <w:rFonts w:asciiTheme="minorBidi" w:hAnsiTheme="minorBidi" w:cs="mohammad bold art 1"/>
          <w:color w:val="323E4F" w:themeColor="text2" w:themeShade="BF"/>
          <w:sz w:val="26"/>
          <w:szCs w:val="26"/>
          <w:rtl/>
        </w:rPr>
      </w:pPr>
    </w:p>
    <w:p w14:paraId="6879E891" w14:textId="77777777" w:rsidR="00350715" w:rsidRPr="001D7394" w:rsidRDefault="00350715" w:rsidP="001F5924">
      <w:pPr>
        <w:bidi/>
        <w:jc w:val="both"/>
        <w:rPr>
          <w:rFonts w:asciiTheme="minorBidi" w:hAnsiTheme="minorBidi" w:cs="mohammad bold art 1"/>
          <w:color w:val="323E4F" w:themeColor="text2" w:themeShade="BF"/>
          <w:sz w:val="26"/>
          <w:szCs w:val="26"/>
          <w:rtl/>
        </w:rPr>
      </w:pPr>
    </w:p>
    <w:p w14:paraId="27DBDE9D" w14:textId="77777777" w:rsidR="00350715" w:rsidRDefault="00350715" w:rsidP="001F5924">
      <w:pPr>
        <w:bidi/>
        <w:jc w:val="both"/>
        <w:rPr>
          <w:rFonts w:asciiTheme="minorBidi" w:hAnsiTheme="minorBidi" w:cs="mohammad bold art 1"/>
          <w:color w:val="323E4F" w:themeColor="text2" w:themeShade="BF"/>
          <w:sz w:val="26"/>
          <w:szCs w:val="26"/>
          <w:rtl/>
        </w:rPr>
      </w:pPr>
    </w:p>
    <w:p w14:paraId="38F80201" w14:textId="77777777" w:rsidR="00350715" w:rsidRDefault="00350715" w:rsidP="001F5924">
      <w:pPr>
        <w:bidi/>
        <w:jc w:val="both"/>
        <w:rPr>
          <w:rFonts w:asciiTheme="minorBidi" w:hAnsiTheme="minorBidi" w:cs="mohammad bold art 1"/>
          <w:color w:val="323E4F" w:themeColor="text2" w:themeShade="BF"/>
          <w:sz w:val="26"/>
          <w:szCs w:val="26"/>
          <w:rtl/>
        </w:rPr>
      </w:pPr>
    </w:p>
    <w:p w14:paraId="1D71B975" w14:textId="77777777" w:rsidR="00350715" w:rsidRDefault="00350715" w:rsidP="001F5924">
      <w:pPr>
        <w:bidi/>
        <w:jc w:val="both"/>
        <w:rPr>
          <w:rFonts w:asciiTheme="minorBidi" w:hAnsiTheme="minorBidi" w:cs="mohammad bold art 1"/>
          <w:color w:val="323E4F" w:themeColor="text2" w:themeShade="BF"/>
          <w:sz w:val="26"/>
          <w:szCs w:val="26"/>
          <w:rtl/>
        </w:rPr>
      </w:pPr>
    </w:p>
    <w:p w14:paraId="2EE46FDB" w14:textId="77777777" w:rsidR="00350715" w:rsidRPr="001D7394" w:rsidRDefault="00350715" w:rsidP="001F5924">
      <w:pPr>
        <w:bidi/>
        <w:jc w:val="both"/>
        <w:rPr>
          <w:rFonts w:asciiTheme="minorBidi" w:hAnsiTheme="minorBidi" w:cs="mohammad bold art 1"/>
          <w:color w:val="323E4F" w:themeColor="text2" w:themeShade="BF"/>
          <w:sz w:val="26"/>
          <w:szCs w:val="26"/>
          <w:rtl/>
        </w:rPr>
      </w:pPr>
    </w:p>
    <w:p w14:paraId="0CA400CC" w14:textId="77777777" w:rsidR="00350715" w:rsidRPr="00744993" w:rsidRDefault="00350715" w:rsidP="001F5924">
      <w:pPr>
        <w:widowControl w:val="0"/>
        <w:autoSpaceDE w:val="0"/>
        <w:autoSpaceDN w:val="0"/>
        <w:bidi/>
        <w:adjustRightInd w:val="0"/>
        <w:spacing w:after="0" w:line="276" w:lineRule="auto"/>
        <w:jc w:val="both"/>
        <w:textAlignment w:val="center"/>
        <w:rPr>
          <w:rFonts w:ascii="DiwanMuna-Bold" w:eastAsiaTheme="minorEastAsia" w:cs="DiwanMuna-Bold"/>
          <w:b/>
          <w:bCs/>
          <w:color w:val="B5A500"/>
          <w:sz w:val="16"/>
          <w:szCs w:val="16"/>
          <w:rtl/>
        </w:rPr>
      </w:pPr>
    </w:p>
    <w:p w14:paraId="6A4FD575" w14:textId="77777777" w:rsidR="00893236" w:rsidRPr="00893236" w:rsidRDefault="00893236" w:rsidP="001F5924">
      <w:pPr>
        <w:bidi/>
        <w:spacing w:line="240" w:lineRule="auto"/>
        <w:jc w:val="both"/>
        <w:rPr>
          <w:rFonts w:ascii="Sakkal Majalla" w:hAnsi="Sakkal Majalla" w:cs="Sakkal Majalla"/>
          <w:b/>
          <w:bCs/>
          <w:sz w:val="16"/>
          <w:szCs w:val="16"/>
          <w:u w:val="single"/>
          <w:rtl/>
          <w:lang w:bidi="ar-KW"/>
        </w:rPr>
      </w:pPr>
    </w:p>
    <w:p w14:paraId="13BCEA15" w14:textId="77777777" w:rsidR="000D01A8" w:rsidRDefault="000D01A8" w:rsidP="00744993">
      <w:pPr>
        <w:widowControl w:val="0"/>
        <w:autoSpaceDE w:val="0"/>
        <w:autoSpaceDN w:val="0"/>
        <w:bidi/>
        <w:adjustRightInd w:val="0"/>
        <w:spacing w:after="0" w:line="360" w:lineRule="auto"/>
        <w:jc w:val="both"/>
        <w:textAlignment w:val="center"/>
        <w:rPr>
          <w:rFonts w:ascii="DiwanMuna-Bold" w:eastAsiaTheme="minorEastAsia" w:cs="DiwanMuna-Bold"/>
          <w:b/>
          <w:bCs/>
          <w:color w:val="B5A500"/>
          <w:sz w:val="34"/>
          <w:szCs w:val="34"/>
          <w:u w:val="single"/>
          <w:rtl/>
          <w:lang w:bidi="ar-YE"/>
        </w:rPr>
      </w:pPr>
      <w:r>
        <w:rPr>
          <w:rFonts w:ascii="DiwanMuna-Bold" w:eastAsiaTheme="minorEastAsia" w:cs="DiwanMuna-Bold" w:hint="cs"/>
          <w:b/>
          <w:bCs/>
          <w:color w:val="B5A500"/>
          <w:sz w:val="34"/>
          <w:szCs w:val="34"/>
          <w:u w:val="single"/>
          <w:rtl/>
          <w:lang w:bidi="ar-YE"/>
        </w:rPr>
        <w:t>نطاق التطبيق:</w:t>
      </w:r>
    </w:p>
    <w:p w14:paraId="516CF5C7" w14:textId="77777777" w:rsidR="000D01A8" w:rsidRDefault="000D01A8" w:rsidP="00744993">
      <w:pPr>
        <w:widowControl w:val="0"/>
        <w:autoSpaceDE w:val="0"/>
        <w:autoSpaceDN w:val="0"/>
        <w:bidi/>
        <w:adjustRightInd w:val="0"/>
        <w:spacing w:after="0" w:line="360" w:lineRule="auto"/>
        <w:jc w:val="both"/>
        <w:textAlignment w:val="center"/>
        <w:rPr>
          <w:rFonts w:ascii="DiwanMuna-Bold" w:eastAsiaTheme="minorEastAsia" w:cs="DiwanMuna-Bold"/>
          <w:b/>
          <w:bCs/>
          <w:color w:val="B5A500"/>
          <w:sz w:val="34"/>
          <w:szCs w:val="34"/>
          <w:u w:val="single"/>
          <w:rtl/>
          <w:lang w:bidi="ar-YE"/>
        </w:rPr>
      </w:pPr>
      <w:r w:rsidRPr="00652A79">
        <w:rPr>
          <w:rFonts w:ascii="DiwanMuna-Bold" w:eastAsiaTheme="minorEastAsia" w:hAnsi="Calibri" w:cs="DiwanMuna-Bold" w:hint="eastAsia"/>
          <w:b/>
          <w:bCs/>
          <w:color w:val="000059"/>
          <w:sz w:val="30"/>
          <w:szCs w:val="30"/>
          <w:rtl/>
          <w:lang w:bidi="ar-YE"/>
        </w:rPr>
        <w:t>يسرى</w:t>
      </w:r>
      <w:r w:rsidRPr="00652A79">
        <w:rPr>
          <w:rFonts w:ascii="DiwanMuna-Bold" w:eastAsiaTheme="minorEastAsia" w:hAnsi="Calibri" w:cs="DiwanMuna-Bold"/>
          <w:b/>
          <w:bCs/>
          <w:color w:val="000059"/>
          <w:sz w:val="30"/>
          <w:szCs w:val="30"/>
          <w:rtl/>
          <w:lang w:bidi="ar-YE"/>
        </w:rPr>
        <w:t xml:space="preserve"> </w:t>
      </w:r>
      <w:r w:rsidRPr="00652A79">
        <w:rPr>
          <w:rFonts w:ascii="DiwanMuna-Bold" w:eastAsiaTheme="minorEastAsia" w:hAnsi="Calibri" w:cs="DiwanMuna-Bold" w:hint="eastAsia"/>
          <w:b/>
          <w:bCs/>
          <w:color w:val="000059"/>
          <w:sz w:val="30"/>
          <w:szCs w:val="30"/>
          <w:rtl/>
          <w:lang w:bidi="ar-YE"/>
        </w:rPr>
        <w:t>هذا</w:t>
      </w:r>
      <w:r w:rsidRPr="00652A79">
        <w:rPr>
          <w:rFonts w:ascii="DiwanMuna-Bold" w:eastAsiaTheme="minorEastAsia" w:hAnsi="Calibri" w:cs="DiwanMuna-Bold"/>
          <w:b/>
          <w:bCs/>
          <w:color w:val="000059"/>
          <w:sz w:val="30"/>
          <w:szCs w:val="30"/>
          <w:rtl/>
          <w:lang w:bidi="ar-YE"/>
        </w:rPr>
        <w:t xml:space="preserve"> </w:t>
      </w:r>
      <w:r w:rsidRPr="00652A79">
        <w:rPr>
          <w:rFonts w:ascii="DiwanMuna-Bold" w:eastAsiaTheme="minorEastAsia" w:hAnsi="Calibri" w:cs="DiwanMuna-Bold" w:hint="eastAsia"/>
          <w:b/>
          <w:bCs/>
          <w:color w:val="000059"/>
          <w:sz w:val="30"/>
          <w:szCs w:val="30"/>
          <w:rtl/>
          <w:lang w:bidi="ar-YE"/>
        </w:rPr>
        <w:t>الملحق</w:t>
      </w:r>
      <w:r w:rsidRPr="00652A79">
        <w:rPr>
          <w:rFonts w:ascii="DiwanMuna-Bold" w:eastAsiaTheme="minorEastAsia" w:hAnsi="Calibri" w:cs="DiwanMuna-Bold"/>
          <w:b/>
          <w:bCs/>
          <w:color w:val="000059"/>
          <w:sz w:val="30"/>
          <w:szCs w:val="30"/>
          <w:rtl/>
          <w:lang w:bidi="ar-YE"/>
        </w:rPr>
        <w:t xml:space="preserve"> </w:t>
      </w:r>
      <w:r w:rsidRPr="00652A79">
        <w:rPr>
          <w:rFonts w:ascii="DiwanMuna-Bold" w:eastAsiaTheme="minorEastAsia" w:hAnsi="Calibri" w:cs="DiwanMuna-Bold" w:hint="eastAsia"/>
          <w:b/>
          <w:bCs/>
          <w:color w:val="000059"/>
          <w:sz w:val="30"/>
          <w:szCs w:val="30"/>
          <w:rtl/>
          <w:lang w:bidi="ar-YE"/>
        </w:rPr>
        <w:t>على</w:t>
      </w:r>
      <w:r w:rsidRPr="00652A79">
        <w:rPr>
          <w:rFonts w:ascii="DiwanMuna-Bold" w:eastAsiaTheme="minorEastAsia" w:hAnsi="Calibri" w:cs="DiwanMuna-Bold"/>
          <w:b/>
          <w:bCs/>
          <w:color w:val="000059"/>
          <w:sz w:val="30"/>
          <w:szCs w:val="30"/>
          <w:rtl/>
          <w:lang w:bidi="ar-YE"/>
        </w:rPr>
        <w:t xml:space="preserve"> </w:t>
      </w:r>
      <w:r w:rsidRPr="00652A79">
        <w:rPr>
          <w:rFonts w:ascii="DiwanMuna-Bold" w:eastAsiaTheme="minorEastAsia" w:hAnsi="Calibri" w:cs="DiwanMuna-Bold" w:hint="eastAsia"/>
          <w:b/>
          <w:bCs/>
          <w:color w:val="000059"/>
          <w:sz w:val="30"/>
          <w:szCs w:val="30"/>
          <w:rtl/>
          <w:lang w:bidi="ar-YE"/>
        </w:rPr>
        <w:t>جميع</w:t>
      </w:r>
      <w:r w:rsidRPr="00652A79">
        <w:rPr>
          <w:rFonts w:ascii="DiwanMuna-Bold" w:eastAsiaTheme="minorEastAsia" w:hAnsi="Calibri" w:cs="DiwanMuna-Bold"/>
          <w:b/>
          <w:bCs/>
          <w:color w:val="000059"/>
          <w:sz w:val="30"/>
          <w:szCs w:val="30"/>
          <w:rtl/>
          <w:lang w:bidi="ar-YE"/>
        </w:rPr>
        <w:t xml:space="preserve"> </w:t>
      </w:r>
      <w:r w:rsidRPr="00652A79">
        <w:rPr>
          <w:rFonts w:ascii="DiwanMuna-Bold" w:eastAsiaTheme="minorEastAsia" w:hAnsi="Calibri" w:cs="DiwanMuna-Bold" w:hint="eastAsia"/>
          <w:b/>
          <w:bCs/>
          <w:color w:val="000059"/>
          <w:sz w:val="30"/>
          <w:szCs w:val="30"/>
          <w:rtl/>
          <w:lang w:bidi="ar-YE"/>
        </w:rPr>
        <w:t>الشركات</w:t>
      </w:r>
      <w:r w:rsidRPr="00652A79">
        <w:rPr>
          <w:rFonts w:ascii="DiwanMuna-Bold" w:eastAsiaTheme="minorEastAsia" w:hAnsi="Calibri" w:cs="DiwanMuna-Bold"/>
          <w:b/>
          <w:bCs/>
          <w:color w:val="000059"/>
          <w:sz w:val="30"/>
          <w:szCs w:val="30"/>
          <w:rtl/>
          <w:lang w:bidi="ar-YE"/>
        </w:rPr>
        <w:t xml:space="preserve"> </w:t>
      </w:r>
      <w:r w:rsidRPr="00652A79">
        <w:rPr>
          <w:rFonts w:ascii="DiwanMuna-Bold" w:eastAsiaTheme="minorEastAsia" w:hAnsi="Calibri" w:cs="DiwanMuna-Bold" w:hint="eastAsia"/>
          <w:b/>
          <w:bCs/>
          <w:color w:val="000059"/>
          <w:sz w:val="30"/>
          <w:szCs w:val="30"/>
          <w:rtl/>
          <w:lang w:bidi="ar-YE"/>
        </w:rPr>
        <w:t>المساهمة</w:t>
      </w:r>
      <w:r w:rsidRPr="00652A79">
        <w:rPr>
          <w:rFonts w:ascii="DiwanMuna-Bold" w:eastAsiaTheme="minorEastAsia" w:hAnsi="Calibri" w:cs="DiwanMuna-Bold"/>
          <w:b/>
          <w:bCs/>
          <w:color w:val="000059"/>
          <w:sz w:val="30"/>
          <w:szCs w:val="30"/>
          <w:rtl/>
          <w:lang w:bidi="ar-YE"/>
        </w:rPr>
        <w:t xml:space="preserve"> </w:t>
      </w:r>
      <w:r w:rsidRPr="00652A79">
        <w:rPr>
          <w:rFonts w:ascii="DiwanMuna-Bold" w:eastAsiaTheme="minorEastAsia" w:hAnsi="Calibri" w:cs="DiwanMuna-Bold" w:hint="eastAsia"/>
          <w:b/>
          <w:bCs/>
          <w:color w:val="000059"/>
          <w:sz w:val="30"/>
          <w:szCs w:val="30"/>
          <w:rtl/>
          <w:lang w:bidi="ar-YE"/>
        </w:rPr>
        <w:t>الكويتية</w:t>
      </w:r>
      <w:r w:rsidRPr="00652A79">
        <w:rPr>
          <w:rFonts w:ascii="DiwanMuna-Bold" w:eastAsiaTheme="minorEastAsia" w:hAnsi="Calibri" w:cs="DiwanMuna-Bold"/>
          <w:b/>
          <w:bCs/>
          <w:color w:val="000059"/>
          <w:sz w:val="30"/>
          <w:szCs w:val="30"/>
          <w:rtl/>
          <w:lang w:bidi="ar-YE"/>
        </w:rPr>
        <w:t xml:space="preserve"> </w:t>
      </w:r>
      <w:r w:rsidRPr="00652A79">
        <w:rPr>
          <w:rFonts w:ascii="DiwanMuna-Bold" w:eastAsiaTheme="minorEastAsia" w:hAnsi="Calibri" w:cs="DiwanMuna-Bold" w:hint="eastAsia"/>
          <w:b/>
          <w:bCs/>
          <w:color w:val="000059"/>
          <w:sz w:val="30"/>
          <w:szCs w:val="30"/>
          <w:rtl/>
          <w:lang w:bidi="ar-YE"/>
        </w:rPr>
        <w:t>بنوعيها</w:t>
      </w:r>
      <w:r w:rsidRPr="00652A79">
        <w:rPr>
          <w:rFonts w:ascii="DiwanMuna-Bold" w:eastAsiaTheme="minorEastAsia" w:hAnsi="Calibri" w:cs="DiwanMuna-Bold"/>
          <w:b/>
          <w:bCs/>
          <w:color w:val="000059"/>
          <w:sz w:val="30"/>
          <w:szCs w:val="30"/>
          <w:rtl/>
          <w:lang w:bidi="ar-YE"/>
        </w:rPr>
        <w:t xml:space="preserve"> (</w:t>
      </w:r>
      <w:r w:rsidRPr="00652A79">
        <w:rPr>
          <w:rFonts w:ascii="DiwanMuna-Bold" w:eastAsiaTheme="minorEastAsia" w:hAnsi="Calibri" w:cs="DiwanMuna-Bold" w:hint="eastAsia"/>
          <w:b/>
          <w:bCs/>
          <w:color w:val="000059"/>
          <w:sz w:val="30"/>
          <w:szCs w:val="30"/>
          <w:rtl/>
          <w:lang w:bidi="ar-YE"/>
        </w:rPr>
        <w:t>العامة</w:t>
      </w:r>
      <w:r w:rsidRPr="00652A79">
        <w:rPr>
          <w:rFonts w:ascii="DiwanMuna-Bold" w:eastAsiaTheme="minorEastAsia" w:hAnsi="Calibri" w:cs="DiwanMuna-Bold"/>
          <w:b/>
          <w:bCs/>
          <w:color w:val="000059"/>
          <w:sz w:val="30"/>
          <w:szCs w:val="30"/>
          <w:rtl/>
          <w:lang w:bidi="ar-YE"/>
        </w:rPr>
        <w:t xml:space="preserve"> </w:t>
      </w:r>
      <w:r w:rsidRPr="00652A79">
        <w:rPr>
          <w:rFonts w:ascii="DiwanMuna-Bold" w:eastAsiaTheme="minorEastAsia" w:hAnsi="Calibri" w:cs="DiwanMuna-Bold" w:hint="eastAsia"/>
          <w:b/>
          <w:bCs/>
          <w:color w:val="000059"/>
          <w:sz w:val="30"/>
          <w:szCs w:val="30"/>
          <w:rtl/>
          <w:lang w:bidi="ar-YE"/>
        </w:rPr>
        <w:t>والمقفلة</w:t>
      </w:r>
      <w:r w:rsidRPr="00652A79">
        <w:rPr>
          <w:rFonts w:ascii="DiwanMuna-Bold" w:eastAsiaTheme="minorEastAsia" w:hAnsi="Calibri" w:cs="DiwanMuna-Bold"/>
          <w:b/>
          <w:bCs/>
          <w:color w:val="000059"/>
          <w:sz w:val="30"/>
          <w:szCs w:val="30"/>
          <w:rtl/>
          <w:lang w:bidi="ar-YE"/>
        </w:rPr>
        <w:t>).</w:t>
      </w:r>
      <w:r>
        <w:rPr>
          <w:rFonts w:ascii="DiwanMuna-Bold" w:eastAsiaTheme="minorEastAsia" w:cs="DiwanMuna-Bold" w:hint="cs"/>
          <w:b/>
          <w:bCs/>
          <w:color w:val="B5A500"/>
          <w:sz w:val="34"/>
          <w:szCs w:val="34"/>
          <w:u w:val="single"/>
          <w:rtl/>
          <w:lang w:bidi="ar-YE"/>
        </w:rPr>
        <w:t xml:space="preserve"> </w:t>
      </w:r>
    </w:p>
    <w:p w14:paraId="5C1DBE70" w14:textId="77777777" w:rsidR="000D01A8" w:rsidRPr="00744993" w:rsidRDefault="000D01A8" w:rsidP="000D01A8">
      <w:pPr>
        <w:widowControl w:val="0"/>
        <w:autoSpaceDE w:val="0"/>
        <w:autoSpaceDN w:val="0"/>
        <w:bidi/>
        <w:adjustRightInd w:val="0"/>
        <w:spacing w:after="0" w:line="276" w:lineRule="auto"/>
        <w:jc w:val="both"/>
        <w:textAlignment w:val="center"/>
        <w:rPr>
          <w:rFonts w:ascii="DiwanMuna-Bold" w:eastAsiaTheme="minorEastAsia" w:cs="DiwanMuna-Bold"/>
          <w:b/>
          <w:bCs/>
          <w:color w:val="B5A500"/>
          <w:sz w:val="8"/>
          <w:szCs w:val="8"/>
          <w:u w:val="single"/>
          <w:rtl/>
          <w:lang w:bidi="ar-KW"/>
        </w:rPr>
      </w:pPr>
    </w:p>
    <w:p w14:paraId="7C1FC525" w14:textId="77777777" w:rsidR="008F165C" w:rsidRPr="001F5924" w:rsidRDefault="00D4199B" w:rsidP="00412EF3">
      <w:pPr>
        <w:widowControl w:val="0"/>
        <w:autoSpaceDE w:val="0"/>
        <w:autoSpaceDN w:val="0"/>
        <w:bidi/>
        <w:adjustRightInd w:val="0"/>
        <w:spacing w:after="0" w:line="276" w:lineRule="auto"/>
        <w:jc w:val="both"/>
        <w:textAlignment w:val="center"/>
        <w:rPr>
          <w:rFonts w:ascii="DiwanMuna-Bold" w:eastAsiaTheme="minorEastAsia" w:cs="DiwanMuna-Bold"/>
          <w:b/>
          <w:bCs/>
          <w:color w:val="B5A500"/>
          <w:sz w:val="34"/>
          <w:szCs w:val="34"/>
          <w:u w:val="single"/>
          <w:rtl/>
          <w:lang w:bidi="ar-YE"/>
        </w:rPr>
      </w:pPr>
      <w:r w:rsidRPr="001F5924">
        <w:rPr>
          <w:rFonts w:ascii="DiwanMuna-Bold" w:eastAsiaTheme="minorEastAsia" w:cs="DiwanMuna-Bold" w:hint="cs"/>
          <w:b/>
          <w:bCs/>
          <w:color w:val="B5A500"/>
          <w:sz w:val="34"/>
          <w:szCs w:val="34"/>
          <w:u w:val="single"/>
          <w:rtl/>
          <w:lang w:bidi="ar-YE"/>
        </w:rPr>
        <w:t>الشروط</w:t>
      </w:r>
      <w:r w:rsidR="0096422F">
        <w:rPr>
          <w:rFonts w:ascii="DiwanMuna-Bold" w:eastAsiaTheme="minorEastAsia" w:cs="DiwanMuna-Bold" w:hint="cs"/>
          <w:b/>
          <w:bCs/>
          <w:color w:val="B5A500"/>
          <w:sz w:val="34"/>
          <w:szCs w:val="34"/>
          <w:u w:val="single"/>
          <w:rtl/>
          <w:lang w:bidi="ar-YE"/>
        </w:rPr>
        <w:t xml:space="preserve"> والأحكام</w:t>
      </w:r>
      <w:r w:rsidRPr="001F5924">
        <w:rPr>
          <w:rFonts w:ascii="DiwanMuna-Bold" w:eastAsiaTheme="minorEastAsia" w:cs="DiwanMuna-Bold" w:hint="cs"/>
          <w:b/>
          <w:bCs/>
          <w:color w:val="B5A500"/>
          <w:sz w:val="34"/>
          <w:szCs w:val="34"/>
          <w:u w:val="single"/>
          <w:rtl/>
          <w:lang w:bidi="ar-YE"/>
        </w:rPr>
        <w:t>:</w:t>
      </w:r>
    </w:p>
    <w:p w14:paraId="69DB234F" w14:textId="52E5DE9C" w:rsidR="00D4199B" w:rsidRPr="001F5924" w:rsidRDefault="005826E7" w:rsidP="002F0D13">
      <w:pPr>
        <w:pStyle w:val="ecxmsolistparagraph"/>
        <w:bidi/>
        <w:ind w:left="720"/>
        <w:jc w:val="both"/>
        <w:rPr>
          <w:rFonts w:ascii="DiwanMuna-Bold" w:eastAsiaTheme="minorEastAsia" w:hAnsi="Calibri" w:cs="DiwanMuna-Bold"/>
          <w:b/>
          <w:bCs/>
          <w:color w:val="000059"/>
          <w:sz w:val="30"/>
          <w:szCs w:val="30"/>
          <w:lang w:bidi="ar-YE"/>
        </w:rPr>
      </w:pPr>
      <w:r>
        <w:rPr>
          <w:rFonts w:ascii="DiwanMuna-Bold" w:eastAsiaTheme="minorEastAsia" w:hAnsi="Calibri" w:cs="DiwanMuna-Bold" w:hint="cs"/>
          <w:b/>
          <w:bCs/>
          <w:color w:val="000059"/>
          <w:sz w:val="30"/>
          <w:szCs w:val="30"/>
          <w:rtl/>
          <w:lang w:bidi="ar-YE"/>
        </w:rPr>
        <w:t xml:space="preserve">1- </w:t>
      </w:r>
      <w:r w:rsidR="00D4199B" w:rsidRPr="001F5924">
        <w:rPr>
          <w:rFonts w:ascii="DiwanMuna-Bold" w:eastAsiaTheme="minorEastAsia" w:hAnsi="Calibri" w:cs="DiwanMuna-Bold" w:hint="cs"/>
          <w:b/>
          <w:bCs/>
          <w:color w:val="000059"/>
          <w:sz w:val="30"/>
          <w:szCs w:val="30"/>
          <w:rtl/>
          <w:lang w:bidi="ar-YE"/>
        </w:rPr>
        <w:t>يجب أن ي</w:t>
      </w:r>
      <w:r w:rsidR="00893236" w:rsidRPr="001F5924">
        <w:rPr>
          <w:rFonts w:ascii="DiwanMuna-Bold" w:eastAsiaTheme="minorEastAsia" w:hAnsi="Calibri" w:cs="DiwanMuna-Bold" w:hint="cs"/>
          <w:b/>
          <w:bCs/>
          <w:color w:val="000059"/>
          <w:sz w:val="30"/>
          <w:szCs w:val="30"/>
          <w:rtl/>
          <w:lang w:bidi="ar-YE"/>
        </w:rPr>
        <w:t>تضمن</w:t>
      </w:r>
      <w:r w:rsidR="00D4199B" w:rsidRPr="001F5924">
        <w:rPr>
          <w:rFonts w:ascii="DiwanMuna-Bold" w:eastAsiaTheme="minorEastAsia" w:hAnsi="Calibri" w:cs="DiwanMuna-Bold" w:hint="cs"/>
          <w:b/>
          <w:bCs/>
          <w:color w:val="000059"/>
          <w:sz w:val="30"/>
          <w:szCs w:val="30"/>
          <w:rtl/>
          <w:lang w:bidi="ar-YE"/>
        </w:rPr>
        <w:t xml:space="preserve"> عقد التأسيس</w:t>
      </w:r>
      <w:r w:rsidR="00893236" w:rsidRPr="001F5924">
        <w:rPr>
          <w:rFonts w:ascii="DiwanMuna-Bold" w:eastAsiaTheme="minorEastAsia" w:hAnsi="Calibri" w:cs="DiwanMuna-Bold" w:hint="cs"/>
          <w:b/>
          <w:bCs/>
          <w:color w:val="000059"/>
          <w:sz w:val="30"/>
          <w:szCs w:val="30"/>
          <w:rtl/>
          <w:lang w:bidi="ar-YE"/>
        </w:rPr>
        <w:t xml:space="preserve"> والنظام الأساسي بند</w:t>
      </w:r>
      <w:r w:rsidR="00816680">
        <w:rPr>
          <w:rFonts w:ascii="DiwanMuna-Bold" w:eastAsiaTheme="minorEastAsia" w:hAnsi="Calibri" w:cs="DiwanMuna-Bold" w:hint="cs"/>
          <w:b/>
          <w:bCs/>
          <w:color w:val="000059"/>
          <w:sz w:val="30"/>
          <w:szCs w:val="30"/>
          <w:rtl/>
          <w:lang w:bidi="ar-YE"/>
        </w:rPr>
        <w:t>اً</w:t>
      </w:r>
      <w:r w:rsidR="00D4199B" w:rsidRPr="001F5924">
        <w:rPr>
          <w:rFonts w:ascii="DiwanMuna-Bold" w:eastAsiaTheme="minorEastAsia" w:hAnsi="Calibri" w:cs="DiwanMuna-Bold" w:hint="cs"/>
          <w:b/>
          <w:bCs/>
          <w:color w:val="000059"/>
          <w:sz w:val="30"/>
          <w:szCs w:val="30"/>
          <w:rtl/>
          <w:lang w:bidi="ar-YE"/>
        </w:rPr>
        <w:t xml:space="preserve"> يسمح للشركة باستحداث نظام خيار شراء </w:t>
      </w:r>
      <w:r w:rsidR="003613A3" w:rsidRPr="001F5924">
        <w:rPr>
          <w:rFonts w:ascii="DiwanMuna-Bold" w:eastAsiaTheme="minorEastAsia" w:hAnsi="Calibri" w:cs="DiwanMuna-Bold" w:hint="cs"/>
          <w:b/>
          <w:bCs/>
          <w:color w:val="000059"/>
          <w:sz w:val="30"/>
          <w:szCs w:val="30"/>
          <w:rtl/>
          <w:lang w:bidi="ar-YE"/>
        </w:rPr>
        <w:t>ال</w:t>
      </w:r>
      <w:r w:rsidR="00D4199B" w:rsidRPr="001F5924">
        <w:rPr>
          <w:rFonts w:ascii="DiwanMuna-Bold" w:eastAsiaTheme="minorEastAsia" w:hAnsi="Calibri" w:cs="DiwanMuna-Bold" w:hint="cs"/>
          <w:b/>
          <w:bCs/>
          <w:color w:val="000059"/>
          <w:sz w:val="30"/>
          <w:szCs w:val="30"/>
          <w:rtl/>
          <w:lang w:bidi="ar-YE"/>
        </w:rPr>
        <w:t xml:space="preserve">أسهم </w:t>
      </w:r>
      <w:r w:rsidR="003613A3" w:rsidRPr="001F5924">
        <w:rPr>
          <w:rFonts w:ascii="DiwanMuna-Bold" w:eastAsiaTheme="minorEastAsia" w:hAnsi="Calibri" w:cs="DiwanMuna-Bold" w:hint="cs"/>
          <w:b/>
          <w:bCs/>
          <w:color w:val="000059"/>
          <w:sz w:val="30"/>
          <w:szCs w:val="30"/>
          <w:rtl/>
          <w:lang w:bidi="ar-YE"/>
        </w:rPr>
        <w:t>ل</w:t>
      </w:r>
      <w:r w:rsidR="00D4199B" w:rsidRPr="001F5924">
        <w:rPr>
          <w:rFonts w:ascii="DiwanMuna-Bold" w:eastAsiaTheme="minorEastAsia" w:hAnsi="Calibri" w:cs="DiwanMuna-Bold" w:hint="cs"/>
          <w:b/>
          <w:bCs/>
          <w:color w:val="000059"/>
          <w:sz w:val="30"/>
          <w:szCs w:val="30"/>
          <w:rtl/>
          <w:lang w:bidi="ar-YE"/>
        </w:rPr>
        <w:t xml:space="preserve">لموظفين. </w:t>
      </w:r>
    </w:p>
    <w:p w14:paraId="16E68C1B" w14:textId="6434C968" w:rsidR="00D4199B" w:rsidRPr="001F5924" w:rsidRDefault="005826E7" w:rsidP="002F0D13">
      <w:pPr>
        <w:pStyle w:val="ecxmsolistparagraph"/>
        <w:bidi/>
        <w:ind w:left="720"/>
        <w:jc w:val="both"/>
        <w:rPr>
          <w:rFonts w:ascii="DiwanMuna-Bold" w:eastAsiaTheme="minorEastAsia" w:hAnsi="Calibri" w:cs="DiwanMuna-Bold"/>
          <w:b/>
          <w:bCs/>
          <w:color w:val="000059"/>
          <w:sz w:val="30"/>
          <w:szCs w:val="30"/>
          <w:lang w:bidi="ar-YE"/>
        </w:rPr>
      </w:pPr>
      <w:r>
        <w:rPr>
          <w:rFonts w:ascii="DiwanMuna-Bold" w:eastAsiaTheme="minorEastAsia" w:hAnsi="Calibri" w:cs="DiwanMuna-Bold" w:hint="cs"/>
          <w:b/>
          <w:bCs/>
          <w:color w:val="000059"/>
          <w:sz w:val="30"/>
          <w:szCs w:val="30"/>
          <w:rtl/>
          <w:lang w:bidi="ar-YE"/>
        </w:rPr>
        <w:t xml:space="preserve">2- </w:t>
      </w:r>
      <w:r w:rsidR="00D4199B" w:rsidRPr="001F5924">
        <w:rPr>
          <w:rFonts w:ascii="DiwanMuna-Bold" w:eastAsiaTheme="minorEastAsia" w:hAnsi="Calibri" w:cs="DiwanMuna-Bold" w:hint="cs"/>
          <w:b/>
          <w:bCs/>
          <w:color w:val="000059"/>
          <w:sz w:val="30"/>
          <w:szCs w:val="30"/>
          <w:rtl/>
          <w:lang w:bidi="ar-YE"/>
        </w:rPr>
        <w:t xml:space="preserve">يجب </w:t>
      </w:r>
      <w:proofErr w:type="gramStart"/>
      <w:r w:rsidR="00D4199B" w:rsidRPr="001F5924">
        <w:rPr>
          <w:rFonts w:ascii="DiwanMuna-Bold" w:eastAsiaTheme="minorEastAsia" w:hAnsi="Calibri" w:cs="DiwanMuna-Bold" w:hint="cs"/>
          <w:b/>
          <w:bCs/>
          <w:color w:val="000059"/>
          <w:sz w:val="30"/>
          <w:szCs w:val="30"/>
          <w:rtl/>
          <w:lang w:bidi="ar-YE"/>
        </w:rPr>
        <w:t>أن لا</w:t>
      </w:r>
      <w:proofErr w:type="gramEnd"/>
      <w:r w:rsidR="00D4199B" w:rsidRPr="001F5924">
        <w:rPr>
          <w:rFonts w:ascii="DiwanMuna-Bold" w:eastAsiaTheme="minorEastAsia" w:hAnsi="Calibri" w:cs="DiwanMuna-Bold" w:hint="cs"/>
          <w:b/>
          <w:bCs/>
          <w:color w:val="000059"/>
          <w:sz w:val="30"/>
          <w:szCs w:val="30"/>
          <w:rtl/>
          <w:lang w:bidi="ar-YE"/>
        </w:rPr>
        <w:t xml:space="preserve"> </w:t>
      </w:r>
      <w:r w:rsidR="00932CBC" w:rsidRPr="001F5924">
        <w:rPr>
          <w:rFonts w:ascii="DiwanMuna-Bold" w:eastAsiaTheme="minorEastAsia" w:hAnsi="Calibri" w:cs="DiwanMuna-Bold" w:hint="cs"/>
          <w:b/>
          <w:bCs/>
          <w:color w:val="000059"/>
          <w:sz w:val="30"/>
          <w:szCs w:val="30"/>
          <w:rtl/>
          <w:lang w:bidi="ar-YE"/>
        </w:rPr>
        <w:t>يتجاوز عدد</w:t>
      </w:r>
      <w:r w:rsidR="00AD5E1E" w:rsidRPr="001F5924">
        <w:rPr>
          <w:rFonts w:ascii="DiwanMuna-Bold" w:eastAsiaTheme="minorEastAsia" w:hAnsi="Calibri" w:cs="DiwanMuna-Bold" w:hint="cs"/>
          <w:b/>
          <w:bCs/>
          <w:color w:val="000059"/>
          <w:sz w:val="30"/>
          <w:szCs w:val="30"/>
          <w:rtl/>
          <w:lang w:bidi="ar-YE"/>
        </w:rPr>
        <w:t xml:space="preserve"> الأسهم</w:t>
      </w:r>
      <w:r w:rsidR="00EC4D1D" w:rsidRPr="001F5924">
        <w:rPr>
          <w:rFonts w:ascii="DiwanMuna-Bold" w:eastAsiaTheme="minorEastAsia" w:hAnsi="Calibri" w:cs="DiwanMuna-Bold" w:hint="cs"/>
          <w:b/>
          <w:bCs/>
          <w:color w:val="000059"/>
          <w:sz w:val="30"/>
          <w:szCs w:val="30"/>
          <w:rtl/>
          <w:lang w:bidi="ar-YE"/>
        </w:rPr>
        <w:t xml:space="preserve"> المخصصة للوفاء بالتزامات الشركة </w:t>
      </w:r>
      <w:r w:rsidR="002F0D13">
        <w:rPr>
          <w:rFonts w:ascii="DiwanMuna-Bold" w:eastAsiaTheme="minorEastAsia" w:hAnsi="Calibri" w:cs="DiwanMuna-Bold" w:hint="cs"/>
          <w:b/>
          <w:bCs/>
          <w:color w:val="000059"/>
          <w:sz w:val="30"/>
          <w:szCs w:val="30"/>
          <w:rtl/>
          <w:lang w:bidi="ar-YE"/>
        </w:rPr>
        <w:t>نتيجة</w:t>
      </w:r>
      <w:r w:rsidR="002F0D13" w:rsidRPr="001F5924">
        <w:rPr>
          <w:rFonts w:ascii="DiwanMuna-Bold" w:eastAsiaTheme="minorEastAsia" w:hAnsi="Calibri" w:cs="DiwanMuna-Bold" w:hint="cs"/>
          <w:b/>
          <w:bCs/>
          <w:color w:val="000059"/>
          <w:sz w:val="30"/>
          <w:szCs w:val="30"/>
          <w:rtl/>
          <w:lang w:bidi="ar-YE"/>
        </w:rPr>
        <w:t xml:space="preserve"> </w:t>
      </w:r>
      <w:r w:rsidR="00EC4D1D" w:rsidRPr="001F5924">
        <w:rPr>
          <w:rFonts w:ascii="DiwanMuna-Bold" w:eastAsiaTheme="minorEastAsia" w:hAnsi="Calibri" w:cs="DiwanMuna-Bold" w:hint="cs"/>
          <w:b/>
          <w:bCs/>
          <w:color w:val="000059"/>
          <w:sz w:val="30"/>
          <w:szCs w:val="30"/>
          <w:rtl/>
          <w:lang w:bidi="ar-YE"/>
        </w:rPr>
        <w:t xml:space="preserve">تنفيذ نظام خيار شراء الأسهم للموظفين </w:t>
      </w:r>
      <w:r w:rsidR="002F0D13">
        <w:rPr>
          <w:rFonts w:ascii="DiwanMuna-Bold" w:eastAsiaTheme="minorEastAsia" w:hAnsi="Calibri" w:cs="DiwanMuna-Bold" w:hint="cs"/>
          <w:b/>
          <w:bCs/>
          <w:color w:val="000059"/>
          <w:sz w:val="30"/>
          <w:szCs w:val="30"/>
          <w:rtl/>
          <w:lang w:bidi="ar-YE"/>
        </w:rPr>
        <w:t>-</w:t>
      </w:r>
      <w:r w:rsidR="00EC4D1D" w:rsidRPr="001F5924">
        <w:rPr>
          <w:rFonts w:ascii="DiwanMuna-Bold" w:eastAsiaTheme="minorEastAsia" w:hAnsi="Calibri" w:cs="DiwanMuna-Bold" w:hint="cs"/>
          <w:b/>
          <w:bCs/>
          <w:color w:val="000059"/>
          <w:sz w:val="30"/>
          <w:szCs w:val="30"/>
          <w:rtl/>
          <w:lang w:bidi="ar-YE"/>
        </w:rPr>
        <w:t xml:space="preserve">في </w:t>
      </w:r>
      <w:r w:rsidR="00C106AA">
        <w:rPr>
          <w:rFonts w:ascii="DiwanMuna-Bold" w:eastAsiaTheme="minorEastAsia" w:hAnsi="Calibri" w:cs="DiwanMuna-Bold" w:hint="cs"/>
          <w:b/>
          <w:bCs/>
          <w:color w:val="000059"/>
          <w:sz w:val="30"/>
          <w:szCs w:val="30"/>
          <w:rtl/>
          <w:lang w:bidi="ar-YE"/>
        </w:rPr>
        <w:t>أي وقت</w:t>
      </w:r>
      <w:r w:rsidR="002F0D13">
        <w:rPr>
          <w:rFonts w:ascii="DiwanMuna-Bold" w:eastAsiaTheme="minorEastAsia" w:hAnsi="Calibri" w:cs="DiwanMuna-Bold" w:hint="cs"/>
          <w:b/>
          <w:bCs/>
          <w:color w:val="000059"/>
          <w:sz w:val="30"/>
          <w:szCs w:val="30"/>
          <w:rtl/>
          <w:lang w:bidi="ar-YE"/>
        </w:rPr>
        <w:t>-</w:t>
      </w:r>
      <w:r w:rsidR="00C106AA">
        <w:rPr>
          <w:rFonts w:ascii="DiwanMuna-Bold" w:eastAsiaTheme="minorEastAsia" w:hAnsi="Calibri" w:cs="DiwanMuna-Bold" w:hint="cs"/>
          <w:b/>
          <w:bCs/>
          <w:color w:val="000059"/>
          <w:sz w:val="30"/>
          <w:szCs w:val="30"/>
          <w:rtl/>
          <w:lang w:bidi="ar-YE"/>
        </w:rPr>
        <w:t xml:space="preserve"> </w:t>
      </w:r>
      <w:r w:rsidR="00B231BD" w:rsidRPr="001F5924">
        <w:rPr>
          <w:rFonts w:ascii="DiwanMuna-Bold" w:eastAsiaTheme="minorEastAsia" w:hAnsi="Calibri" w:cs="DiwanMuna-Bold" w:hint="cs"/>
          <w:b/>
          <w:bCs/>
          <w:color w:val="000059"/>
          <w:sz w:val="30"/>
          <w:szCs w:val="30"/>
          <w:rtl/>
          <w:lang w:bidi="ar-YE"/>
        </w:rPr>
        <w:t xml:space="preserve">ما </w:t>
      </w:r>
      <w:r w:rsidR="002F0D13">
        <w:rPr>
          <w:rFonts w:ascii="DiwanMuna-Bold" w:eastAsiaTheme="minorEastAsia" w:hAnsi="Calibri" w:cs="DiwanMuna-Bold" w:hint="cs"/>
          <w:b/>
          <w:bCs/>
          <w:color w:val="000059"/>
          <w:sz w:val="30"/>
          <w:szCs w:val="30"/>
          <w:rtl/>
          <w:lang w:bidi="ar-YE"/>
        </w:rPr>
        <w:t>ي</w:t>
      </w:r>
      <w:r w:rsidR="002F0D13" w:rsidRPr="001F5924">
        <w:rPr>
          <w:rFonts w:ascii="DiwanMuna-Bold" w:eastAsiaTheme="minorEastAsia" w:hAnsi="Calibri" w:cs="DiwanMuna-Bold" w:hint="cs"/>
          <w:b/>
          <w:bCs/>
          <w:color w:val="000059"/>
          <w:sz w:val="30"/>
          <w:szCs w:val="30"/>
          <w:rtl/>
          <w:lang w:bidi="ar-YE"/>
        </w:rPr>
        <w:t>عادل نسب</w:t>
      </w:r>
      <w:r w:rsidR="002F0D13">
        <w:rPr>
          <w:rFonts w:ascii="DiwanMuna-Bold" w:eastAsiaTheme="minorEastAsia" w:hAnsi="Calibri" w:cs="DiwanMuna-Bold" w:hint="cs"/>
          <w:b/>
          <w:bCs/>
          <w:color w:val="000059"/>
          <w:sz w:val="30"/>
          <w:szCs w:val="30"/>
          <w:rtl/>
          <w:lang w:bidi="ar-YE"/>
        </w:rPr>
        <w:t>ة</w:t>
      </w:r>
      <w:r w:rsidR="002F0D13" w:rsidRPr="001F5924">
        <w:rPr>
          <w:rFonts w:ascii="DiwanMuna-Bold" w:eastAsiaTheme="minorEastAsia" w:hAnsi="Calibri" w:cs="DiwanMuna-Bold" w:hint="cs"/>
          <w:b/>
          <w:bCs/>
          <w:color w:val="000059"/>
          <w:sz w:val="30"/>
          <w:szCs w:val="30"/>
          <w:rtl/>
          <w:lang w:bidi="ar-YE"/>
        </w:rPr>
        <w:t xml:space="preserve"> </w:t>
      </w:r>
      <w:r w:rsidR="00932CBC" w:rsidRPr="001F5924">
        <w:rPr>
          <w:rFonts w:ascii="DiwanMuna-Bold" w:eastAsiaTheme="minorEastAsia" w:hAnsi="Calibri" w:cs="DiwanMuna-Bold"/>
          <w:b/>
          <w:bCs/>
          <w:color w:val="000059"/>
          <w:sz w:val="30"/>
          <w:szCs w:val="30"/>
          <w:rtl/>
          <w:lang w:bidi="ar-YE"/>
        </w:rPr>
        <w:t>(</w:t>
      </w:r>
      <w:r w:rsidR="00D4199B" w:rsidRPr="001F5924">
        <w:rPr>
          <w:rFonts w:ascii="DiwanMuna-Bold" w:eastAsiaTheme="minorEastAsia" w:hAnsi="Calibri" w:cs="DiwanMuna-Bold" w:hint="cs"/>
          <w:b/>
          <w:bCs/>
          <w:color w:val="000059"/>
          <w:sz w:val="30"/>
          <w:szCs w:val="30"/>
          <w:rtl/>
          <w:lang w:bidi="ar-YE"/>
        </w:rPr>
        <w:t>10%) من رأس مال الشركة المدفوع.</w:t>
      </w:r>
      <w:r w:rsidR="001B002D" w:rsidRPr="001F5924">
        <w:rPr>
          <w:rFonts w:ascii="DiwanMuna-Bold" w:eastAsiaTheme="minorEastAsia" w:hAnsi="Calibri" w:cs="DiwanMuna-Bold" w:hint="cs"/>
          <w:b/>
          <w:bCs/>
          <w:color w:val="000059"/>
          <w:sz w:val="30"/>
          <w:szCs w:val="30"/>
          <w:rtl/>
          <w:lang w:bidi="ar-YE"/>
        </w:rPr>
        <w:t xml:space="preserve"> </w:t>
      </w:r>
    </w:p>
    <w:p w14:paraId="2599ABB2" w14:textId="0A5287C1" w:rsidR="0043615E" w:rsidRDefault="005826E7" w:rsidP="00652A79">
      <w:pPr>
        <w:pStyle w:val="ecxmsolistparagraph"/>
        <w:bidi/>
        <w:ind w:left="720"/>
        <w:jc w:val="both"/>
        <w:rPr>
          <w:rFonts w:ascii="DiwanMuna-Bold" w:eastAsiaTheme="minorEastAsia" w:hAnsi="Calibri" w:cs="DiwanMuna-Bold"/>
          <w:b/>
          <w:bCs/>
          <w:color w:val="000059"/>
          <w:sz w:val="30"/>
          <w:szCs w:val="30"/>
          <w:lang w:bidi="ar-YE"/>
        </w:rPr>
      </w:pPr>
      <w:r>
        <w:rPr>
          <w:rFonts w:ascii="DiwanMuna-Bold" w:eastAsiaTheme="minorEastAsia" w:hAnsi="Calibri" w:cs="DiwanMuna-Bold" w:hint="cs"/>
          <w:b/>
          <w:bCs/>
          <w:color w:val="000059"/>
          <w:sz w:val="30"/>
          <w:szCs w:val="30"/>
          <w:rtl/>
          <w:lang w:bidi="ar-YE"/>
        </w:rPr>
        <w:t xml:space="preserve">3- </w:t>
      </w:r>
      <w:r w:rsidR="001B002D" w:rsidRPr="001F5924">
        <w:rPr>
          <w:rFonts w:ascii="DiwanMuna-Bold" w:eastAsiaTheme="minorEastAsia" w:hAnsi="Calibri" w:cs="DiwanMuna-Bold" w:hint="cs"/>
          <w:b/>
          <w:bCs/>
          <w:color w:val="000059"/>
          <w:sz w:val="30"/>
          <w:szCs w:val="30"/>
          <w:rtl/>
          <w:lang w:bidi="ar-YE"/>
        </w:rPr>
        <w:t xml:space="preserve">يقتصر البرنامج على موظفي الشركة </w:t>
      </w:r>
      <w:r w:rsidR="00893236" w:rsidRPr="001F5924">
        <w:rPr>
          <w:rFonts w:ascii="DiwanMuna-Bold" w:eastAsiaTheme="minorEastAsia" w:hAnsi="Calibri" w:cs="DiwanMuna-Bold" w:hint="cs"/>
          <w:b/>
          <w:bCs/>
          <w:color w:val="000059"/>
          <w:sz w:val="30"/>
          <w:szCs w:val="30"/>
          <w:rtl/>
          <w:lang w:bidi="ar-YE"/>
        </w:rPr>
        <w:t xml:space="preserve">وأعضاء مجلس الإدارة التنفيذيين </w:t>
      </w:r>
      <w:r w:rsidR="00932CBC" w:rsidRPr="001F5924">
        <w:rPr>
          <w:rFonts w:ascii="DiwanMuna-Bold" w:eastAsiaTheme="minorEastAsia" w:hAnsi="Calibri" w:cs="DiwanMuna-Bold" w:hint="cs"/>
          <w:b/>
          <w:bCs/>
          <w:color w:val="000059"/>
          <w:sz w:val="30"/>
          <w:szCs w:val="30"/>
          <w:rtl/>
          <w:lang w:bidi="ar-YE"/>
        </w:rPr>
        <w:t>فقط</w:t>
      </w:r>
      <w:r w:rsidR="00932CBC">
        <w:rPr>
          <w:rFonts w:ascii="DiwanMuna-Bold" w:eastAsiaTheme="minorEastAsia" w:hAnsi="Calibri" w:cs="DiwanMuna-Bold" w:hint="cs"/>
          <w:b/>
          <w:bCs/>
          <w:color w:val="000059"/>
          <w:sz w:val="30"/>
          <w:szCs w:val="30"/>
          <w:rtl/>
          <w:lang w:bidi="ar-YE"/>
        </w:rPr>
        <w:t>،</w:t>
      </w:r>
      <w:r w:rsidR="004A50E4">
        <w:rPr>
          <w:rFonts w:ascii="DiwanMuna-Bold" w:eastAsiaTheme="minorEastAsia" w:hAnsi="Calibri" w:cs="DiwanMuna-Bold" w:hint="cs"/>
          <w:b/>
          <w:bCs/>
          <w:color w:val="000059"/>
          <w:sz w:val="30"/>
          <w:szCs w:val="30"/>
          <w:rtl/>
          <w:lang w:bidi="ar-YE"/>
        </w:rPr>
        <w:t xml:space="preserve"> ويجب أن يهدف البرنامج إلى المحافظة على الموظفين وأعضاء مجلس الإدارة الأكفاء وتعزيز ولائهم للشركة.</w:t>
      </w:r>
    </w:p>
    <w:p w14:paraId="61C7F43E" w14:textId="330A7347" w:rsidR="0096422F" w:rsidRDefault="005826E7" w:rsidP="002F0D13">
      <w:pPr>
        <w:pStyle w:val="ecxmsolistparagraph"/>
        <w:bidi/>
        <w:ind w:left="720"/>
        <w:jc w:val="both"/>
        <w:rPr>
          <w:rFonts w:ascii="DiwanMuna-Bold" w:eastAsiaTheme="minorEastAsia" w:hAnsi="Calibri" w:cs="DiwanMuna-Bold"/>
          <w:b/>
          <w:bCs/>
          <w:color w:val="000059"/>
          <w:sz w:val="30"/>
          <w:szCs w:val="30"/>
          <w:lang w:bidi="ar-YE"/>
        </w:rPr>
      </w:pPr>
      <w:r>
        <w:rPr>
          <w:rFonts w:ascii="DiwanMuna-Bold" w:eastAsiaTheme="minorEastAsia" w:hAnsi="Calibri" w:cs="DiwanMuna-Bold" w:hint="cs"/>
          <w:b/>
          <w:bCs/>
          <w:color w:val="000059"/>
          <w:sz w:val="30"/>
          <w:szCs w:val="30"/>
          <w:rtl/>
          <w:lang w:bidi="ar-YE"/>
        </w:rPr>
        <w:t xml:space="preserve">4- </w:t>
      </w:r>
      <w:r w:rsidR="00D305DC">
        <w:rPr>
          <w:rFonts w:ascii="DiwanMuna-Bold" w:eastAsiaTheme="minorEastAsia" w:hAnsi="Calibri" w:cs="DiwanMuna-Bold" w:hint="cs"/>
          <w:b/>
          <w:bCs/>
          <w:color w:val="000059"/>
          <w:sz w:val="30"/>
          <w:szCs w:val="30"/>
          <w:rtl/>
          <w:lang w:bidi="ar-YE"/>
        </w:rPr>
        <w:t xml:space="preserve">يجب الحصول على موافقة الهيئة المسبقة على نظام خيار شراء الأسهم </w:t>
      </w:r>
      <w:r w:rsidR="00932CBC">
        <w:rPr>
          <w:rFonts w:ascii="DiwanMuna-Bold" w:eastAsiaTheme="minorEastAsia" w:hAnsi="Calibri" w:cs="DiwanMuna-Bold" w:hint="cs"/>
          <w:b/>
          <w:bCs/>
          <w:color w:val="000059"/>
          <w:sz w:val="30"/>
          <w:szCs w:val="30"/>
          <w:rtl/>
          <w:lang w:bidi="ar-YE"/>
        </w:rPr>
        <w:t>للموظفين،</w:t>
      </w:r>
      <w:r w:rsidR="00522319">
        <w:rPr>
          <w:rFonts w:ascii="DiwanMuna-Bold" w:eastAsiaTheme="minorEastAsia" w:hAnsi="Calibri" w:cs="DiwanMuna-Bold" w:hint="cs"/>
          <w:b/>
          <w:bCs/>
          <w:color w:val="000059"/>
          <w:sz w:val="30"/>
          <w:szCs w:val="30"/>
          <w:rtl/>
          <w:lang w:bidi="ar-YE"/>
        </w:rPr>
        <w:t xml:space="preserve"> كما يجب الحصول على موافقة مجلس الإدارة والجمعية العامة للشركة.</w:t>
      </w:r>
    </w:p>
    <w:p w14:paraId="4EF1E86E" w14:textId="085762E1" w:rsidR="00522319" w:rsidRDefault="00344AB7" w:rsidP="00344AB7">
      <w:pPr>
        <w:pStyle w:val="ecxmsolistparagraph"/>
        <w:bidi/>
        <w:ind w:left="720"/>
        <w:jc w:val="both"/>
        <w:rPr>
          <w:rFonts w:ascii="DiwanMuna-Bold" w:eastAsiaTheme="minorEastAsia" w:hAnsi="Calibri" w:cs="DiwanMuna-Bold"/>
          <w:b/>
          <w:bCs/>
          <w:color w:val="000059"/>
          <w:sz w:val="30"/>
          <w:szCs w:val="30"/>
          <w:rtl/>
          <w:lang w:bidi="ar-YE"/>
        </w:rPr>
      </w:pPr>
      <w:r>
        <w:rPr>
          <w:rFonts w:ascii="DiwanMuna-Bold" w:eastAsiaTheme="minorEastAsia" w:hAnsi="Calibri" w:cs="DiwanMuna-Bold" w:hint="cs"/>
          <w:b/>
          <w:bCs/>
          <w:color w:val="000059"/>
          <w:sz w:val="30"/>
          <w:szCs w:val="30"/>
          <w:rtl/>
          <w:lang w:bidi="ar-YE"/>
        </w:rPr>
        <w:t>5</w:t>
      </w:r>
      <w:r w:rsidR="00B26F60">
        <w:rPr>
          <w:rFonts w:ascii="DiwanMuna-Bold" w:eastAsiaTheme="minorEastAsia" w:hAnsi="Calibri" w:cs="DiwanMuna-Bold" w:hint="cs"/>
          <w:b/>
          <w:bCs/>
          <w:color w:val="000059"/>
          <w:sz w:val="30"/>
          <w:szCs w:val="30"/>
          <w:rtl/>
          <w:lang w:bidi="ar-YE"/>
        </w:rPr>
        <w:t xml:space="preserve">- </w:t>
      </w:r>
      <w:r w:rsidR="0096422F">
        <w:rPr>
          <w:rFonts w:ascii="DiwanMuna-Bold" w:eastAsiaTheme="minorEastAsia" w:hAnsi="Calibri" w:cs="DiwanMuna-Bold" w:hint="cs"/>
          <w:b/>
          <w:bCs/>
          <w:color w:val="000059"/>
          <w:sz w:val="30"/>
          <w:szCs w:val="30"/>
          <w:rtl/>
          <w:lang w:bidi="ar-YE"/>
        </w:rPr>
        <w:t xml:space="preserve">يجب أن تلتزم الشركة بمبدأ الشفافية عند تطبيق نظام خيار شراء الأسهم وذلك من خلال البيانات المالية السنوية للشركة وفقا لمتطلبات المعايير الدولية للتقارير المالية ومن خلال تقرير مجلس الإدارة </w:t>
      </w:r>
      <w:r w:rsidR="0096422F">
        <w:rPr>
          <w:rFonts w:ascii="DiwanMuna-Bold" w:eastAsiaTheme="minorEastAsia" w:hAnsi="Calibri" w:cs="DiwanMuna-Bold" w:hint="eastAsia"/>
          <w:b/>
          <w:bCs/>
          <w:color w:val="000059"/>
          <w:sz w:val="30"/>
          <w:szCs w:val="30"/>
          <w:rtl/>
          <w:lang w:bidi="ar-YE"/>
        </w:rPr>
        <w:t>السنوي</w:t>
      </w:r>
      <w:r w:rsidR="0096422F">
        <w:rPr>
          <w:rFonts w:ascii="DiwanMuna-Bold" w:eastAsiaTheme="minorEastAsia" w:hAnsi="Calibri" w:cs="DiwanMuna-Bold" w:hint="cs"/>
          <w:b/>
          <w:bCs/>
          <w:color w:val="000059"/>
          <w:sz w:val="30"/>
          <w:szCs w:val="30"/>
          <w:rtl/>
          <w:lang w:bidi="ar-YE"/>
        </w:rPr>
        <w:t xml:space="preserve"> المتضمن </w:t>
      </w:r>
      <w:r w:rsidR="00932CBC">
        <w:rPr>
          <w:rFonts w:ascii="DiwanMuna-Bold" w:eastAsiaTheme="minorEastAsia" w:hAnsi="Calibri" w:cs="DiwanMuna-Bold" w:hint="cs"/>
          <w:b/>
          <w:bCs/>
          <w:color w:val="000059"/>
          <w:sz w:val="30"/>
          <w:szCs w:val="30"/>
          <w:rtl/>
          <w:lang w:bidi="ar-YE"/>
        </w:rPr>
        <w:t>للمعلومات المبينة</w:t>
      </w:r>
      <w:r>
        <w:rPr>
          <w:rFonts w:ascii="DiwanMuna-Bold" w:eastAsiaTheme="minorEastAsia" w:hAnsi="Calibri" w:cs="DiwanMuna-Bold" w:hint="cs"/>
          <w:b/>
          <w:bCs/>
          <w:color w:val="000059"/>
          <w:sz w:val="30"/>
          <w:szCs w:val="30"/>
          <w:rtl/>
          <w:lang w:bidi="ar-YE"/>
        </w:rPr>
        <w:t xml:space="preserve"> بالبند (ب) من إجراءات الموافقة على نظام خيار شراء الأسهم </w:t>
      </w:r>
      <w:r w:rsidR="00932CBC">
        <w:rPr>
          <w:rFonts w:ascii="DiwanMuna-Bold" w:eastAsiaTheme="minorEastAsia" w:hAnsi="Calibri" w:cs="DiwanMuna-Bold" w:hint="cs"/>
          <w:b/>
          <w:bCs/>
          <w:color w:val="000059"/>
          <w:sz w:val="30"/>
          <w:szCs w:val="30"/>
          <w:rtl/>
          <w:lang w:bidi="ar-YE"/>
        </w:rPr>
        <w:t>للموظفين.</w:t>
      </w:r>
    </w:p>
    <w:p w14:paraId="1B791733" w14:textId="77777777" w:rsidR="00A05A27" w:rsidRDefault="00A05A27" w:rsidP="00A05A27">
      <w:pPr>
        <w:pStyle w:val="ecxmsolistparagraph"/>
        <w:bidi/>
        <w:ind w:left="720"/>
        <w:jc w:val="both"/>
        <w:rPr>
          <w:rFonts w:ascii="DiwanMuna-Bold" w:eastAsiaTheme="minorEastAsia" w:hAnsi="Calibri" w:cs="DiwanMuna-Bold"/>
          <w:b/>
          <w:bCs/>
          <w:color w:val="000059"/>
          <w:sz w:val="30"/>
          <w:szCs w:val="30"/>
          <w:lang w:bidi="ar-YE"/>
        </w:rPr>
      </w:pPr>
    </w:p>
    <w:p w14:paraId="7EB39018" w14:textId="3FA4D9BF" w:rsidR="00E0177C" w:rsidRDefault="00E0177C" w:rsidP="00350715">
      <w:pPr>
        <w:bidi/>
        <w:spacing w:line="240" w:lineRule="auto"/>
        <w:jc w:val="both"/>
        <w:rPr>
          <w:rFonts w:ascii="Sakkal Majalla" w:hAnsi="Sakkal Majalla" w:cs="Sakkal Majalla"/>
          <w:b/>
          <w:bCs/>
          <w:sz w:val="4"/>
          <w:szCs w:val="4"/>
          <w:u w:val="single"/>
          <w:rtl/>
          <w:lang w:bidi="ar-KW"/>
        </w:rPr>
      </w:pPr>
    </w:p>
    <w:p w14:paraId="3242593E" w14:textId="7F63CB05" w:rsidR="00C94349" w:rsidRDefault="00C94349" w:rsidP="00C94349">
      <w:pPr>
        <w:bidi/>
        <w:spacing w:line="240" w:lineRule="auto"/>
        <w:jc w:val="both"/>
        <w:rPr>
          <w:rFonts w:ascii="Sakkal Majalla" w:hAnsi="Sakkal Majalla" w:cs="Sakkal Majalla"/>
          <w:b/>
          <w:bCs/>
          <w:sz w:val="4"/>
          <w:szCs w:val="4"/>
          <w:u w:val="single"/>
          <w:rtl/>
          <w:lang w:bidi="ar-KW"/>
        </w:rPr>
      </w:pPr>
    </w:p>
    <w:p w14:paraId="32707B80" w14:textId="77777777" w:rsidR="00C94349" w:rsidRPr="00E0177C" w:rsidRDefault="00C94349" w:rsidP="00C94349">
      <w:pPr>
        <w:bidi/>
        <w:spacing w:line="240" w:lineRule="auto"/>
        <w:jc w:val="both"/>
        <w:rPr>
          <w:rFonts w:ascii="Sakkal Majalla" w:hAnsi="Sakkal Majalla" w:cs="Sakkal Majalla"/>
          <w:b/>
          <w:bCs/>
          <w:sz w:val="4"/>
          <w:szCs w:val="4"/>
          <w:u w:val="single"/>
          <w:rtl/>
          <w:lang w:bidi="ar-KW"/>
        </w:rPr>
      </w:pPr>
    </w:p>
    <w:p w14:paraId="49ABE433" w14:textId="1FD758EF" w:rsidR="00E0177C" w:rsidRDefault="00893236" w:rsidP="001F5924">
      <w:pPr>
        <w:widowControl w:val="0"/>
        <w:autoSpaceDE w:val="0"/>
        <w:autoSpaceDN w:val="0"/>
        <w:bidi/>
        <w:adjustRightInd w:val="0"/>
        <w:spacing w:after="0" w:line="276" w:lineRule="auto"/>
        <w:jc w:val="both"/>
        <w:textAlignment w:val="center"/>
        <w:rPr>
          <w:rFonts w:ascii="DiwanMuna-Bold" w:eastAsiaTheme="minorEastAsia" w:cs="DiwanMuna-Bold"/>
          <w:b/>
          <w:bCs/>
          <w:color w:val="0098FF"/>
          <w:sz w:val="34"/>
          <w:szCs w:val="34"/>
          <w:u w:val="single"/>
          <w:rtl/>
          <w:lang w:bidi="ar-YE"/>
        </w:rPr>
      </w:pPr>
      <w:r w:rsidRPr="001F5924">
        <w:rPr>
          <w:rFonts w:ascii="DiwanMuna-Bold" w:eastAsiaTheme="minorEastAsia" w:cs="DiwanMuna-Bold" w:hint="cs"/>
          <w:b/>
          <w:bCs/>
          <w:color w:val="0098FF"/>
          <w:sz w:val="34"/>
          <w:szCs w:val="34"/>
          <w:u w:val="single"/>
          <w:rtl/>
          <w:lang w:bidi="ar-YE"/>
        </w:rPr>
        <w:t xml:space="preserve">إجراءات </w:t>
      </w:r>
      <w:r w:rsidR="001F5924">
        <w:rPr>
          <w:rFonts w:ascii="DiwanMuna-Bold" w:eastAsiaTheme="minorEastAsia" w:cs="DiwanMuna-Bold" w:hint="cs"/>
          <w:b/>
          <w:bCs/>
          <w:color w:val="0098FF"/>
          <w:sz w:val="34"/>
          <w:szCs w:val="34"/>
          <w:u w:val="single"/>
          <w:rtl/>
          <w:lang w:bidi="ar-YE"/>
        </w:rPr>
        <w:t xml:space="preserve">الموافقة على </w:t>
      </w:r>
      <w:r w:rsidR="001F5924" w:rsidRPr="001F5924">
        <w:rPr>
          <w:rFonts w:ascii="DiwanMuna-Bold" w:eastAsiaTheme="minorEastAsia" w:cs="DiwanMuna-Bold" w:hint="cs"/>
          <w:b/>
          <w:bCs/>
          <w:color w:val="0098FF"/>
          <w:sz w:val="34"/>
          <w:szCs w:val="34"/>
          <w:u w:val="single"/>
          <w:rtl/>
          <w:lang w:bidi="ar-YE"/>
        </w:rPr>
        <w:t xml:space="preserve">نظام خيار شراء الأسهم </w:t>
      </w:r>
      <w:proofErr w:type="gramStart"/>
      <w:r w:rsidR="001F5924" w:rsidRPr="001F5924">
        <w:rPr>
          <w:rFonts w:ascii="DiwanMuna-Bold" w:eastAsiaTheme="minorEastAsia" w:cs="DiwanMuna-Bold" w:hint="cs"/>
          <w:b/>
          <w:bCs/>
          <w:color w:val="0098FF"/>
          <w:sz w:val="34"/>
          <w:szCs w:val="34"/>
          <w:u w:val="single"/>
          <w:rtl/>
          <w:lang w:bidi="ar-YE"/>
        </w:rPr>
        <w:t>للموظفين</w:t>
      </w:r>
      <w:r w:rsidR="001F5924">
        <w:rPr>
          <w:rFonts w:ascii="DiwanMuna-Bold" w:eastAsiaTheme="minorEastAsia" w:cs="DiwanMuna-Bold" w:hint="cs"/>
          <w:b/>
          <w:bCs/>
          <w:color w:val="0098FF"/>
          <w:sz w:val="34"/>
          <w:szCs w:val="34"/>
          <w:u w:val="single"/>
          <w:rtl/>
          <w:lang w:bidi="ar-YE"/>
        </w:rPr>
        <w:t xml:space="preserve"> </w:t>
      </w:r>
      <w:r w:rsidR="00E0177C" w:rsidRPr="001F5924">
        <w:rPr>
          <w:rFonts w:ascii="DiwanMuna-Bold" w:eastAsiaTheme="minorEastAsia" w:cs="DiwanMuna-Bold"/>
          <w:b/>
          <w:bCs/>
          <w:color w:val="0098FF"/>
          <w:sz w:val="34"/>
          <w:szCs w:val="34"/>
          <w:u w:val="single"/>
          <w:rtl/>
          <w:lang w:bidi="ar-YE"/>
        </w:rPr>
        <w:t>:</w:t>
      </w:r>
      <w:proofErr w:type="gramEnd"/>
    </w:p>
    <w:p w14:paraId="237B7E40" w14:textId="77777777" w:rsidR="00932CBC" w:rsidRPr="00932CBC" w:rsidRDefault="00932CBC" w:rsidP="00932CBC">
      <w:pPr>
        <w:widowControl w:val="0"/>
        <w:autoSpaceDE w:val="0"/>
        <w:autoSpaceDN w:val="0"/>
        <w:bidi/>
        <w:adjustRightInd w:val="0"/>
        <w:spacing w:after="0" w:line="276" w:lineRule="auto"/>
        <w:jc w:val="both"/>
        <w:textAlignment w:val="center"/>
        <w:rPr>
          <w:rFonts w:ascii="DiwanMuna-Bold" w:eastAsiaTheme="minorEastAsia" w:cs="DiwanMuna-Bold"/>
          <w:b/>
          <w:bCs/>
          <w:color w:val="0098FF"/>
          <w:sz w:val="16"/>
          <w:szCs w:val="16"/>
          <w:u w:val="single"/>
          <w:rtl/>
          <w:lang w:bidi="ar-YE"/>
        </w:rPr>
      </w:pPr>
    </w:p>
    <w:p w14:paraId="625E5F8D" w14:textId="03D069CA" w:rsidR="00E0177C" w:rsidRPr="00932CBC" w:rsidRDefault="00B26F60" w:rsidP="005826E7">
      <w:pPr>
        <w:widowControl w:val="0"/>
        <w:autoSpaceDE w:val="0"/>
        <w:autoSpaceDN w:val="0"/>
        <w:bidi/>
        <w:adjustRightInd w:val="0"/>
        <w:spacing w:after="0" w:line="276" w:lineRule="auto"/>
        <w:jc w:val="both"/>
        <w:textAlignment w:val="center"/>
        <w:rPr>
          <w:rFonts w:ascii="DiwanMuna-Bold" w:eastAsiaTheme="minorEastAsia" w:hAnsi="Calibri" w:cs="DiwanMuna-Bold"/>
          <w:b/>
          <w:bCs/>
          <w:color w:val="000059"/>
          <w:sz w:val="30"/>
          <w:szCs w:val="30"/>
          <w:lang w:bidi="ar-YE"/>
        </w:rPr>
      </w:pPr>
      <w:r w:rsidRPr="00932CBC">
        <w:rPr>
          <w:rFonts w:ascii="DiwanMuna-Bold" w:eastAsiaTheme="minorEastAsia" w:hAnsi="Calibri" w:cs="DiwanMuna-Bold" w:hint="cs"/>
          <w:b/>
          <w:bCs/>
          <w:color w:val="000059"/>
          <w:sz w:val="30"/>
          <w:szCs w:val="30"/>
          <w:rtl/>
          <w:lang w:bidi="ar-YE"/>
        </w:rPr>
        <w:t xml:space="preserve">أ- </w:t>
      </w:r>
      <w:r w:rsidR="00522319" w:rsidRPr="00932CBC">
        <w:rPr>
          <w:rFonts w:ascii="DiwanMuna-Bold" w:eastAsiaTheme="minorEastAsia" w:hAnsi="Calibri" w:cs="DiwanMuna-Bold" w:hint="cs"/>
          <w:b/>
          <w:bCs/>
          <w:color w:val="000059"/>
          <w:sz w:val="30"/>
          <w:szCs w:val="30"/>
          <w:rtl/>
          <w:lang w:bidi="ar-YE"/>
        </w:rPr>
        <w:t xml:space="preserve"> </w:t>
      </w:r>
      <w:r w:rsidR="00932CBC" w:rsidRPr="00932CBC">
        <w:rPr>
          <w:rFonts w:ascii="DiwanMuna-Bold" w:eastAsiaTheme="minorEastAsia" w:hAnsi="Calibri" w:cs="DiwanMuna-Bold" w:hint="cs"/>
          <w:b/>
          <w:bCs/>
          <w:color w:val="000059"/>
          <w:sz w:val="30"/>
          <w:szCs w:val="30"/>
          <w:rtl/>
          <w:lang w:bidi="ar-YE"/>
        </w:rPr>
        <w:t>يقدم طلب</w:t>
      </w:r>
      <w:r w:rsidR="005826E7" w:rsidRPr="00932CBC">
        <w:rPr>
          <w:rFonts w:ascii="DiwanMuna-Bold" w:eastAsiaTheme="minorEastAsia" w:hAnsi="Calibri" w:cs="DiwanMuna-Bold" w:hint="cs"/>
          <w:b/>
          <w:bCs/>
          <w:color w:val="000059"/>
          <w:sz w:val="30"/>
          <w:szCs w:val="30"/>
          <w:rtl/>
          <w:lang w:bidi="ar-YE"/>
        </w:rPr>
        <w:t xml:space="preserve"> الموافقة على </w:t>
      </w:r>
      <w:r w:rsidR="00522319" w:rsidRPr="00932CBC">
        <w:rPr>
          <w:rFonts w:ascii="DiwanMuna-Bold" w:eastAsiaTheme="minorEastAsia" w:hAnsi="Calibri" w:cs="DiwanMuna-Bold" w:hint="cs"/>
          <w:b/>
          <w:bCs/>
          <w:color w:val="000059"/>
          <w:sz w:val="30"/>
          <w:szCs w:val="30"/>
          <w:rtl/>
          <w:lang w:bidi="ar-YE"/>
        </w:rPr>
        <w:t>نظام</w:t>
      </w:r>
      <w:r w:rsidR="000A11EE" w:rsidRPr="00932CBC">
        <w:rPr>
          <w:rFonts w:ascii="DiwanMuna-Bold" w:eastAsiaTheme="minorEastAsia" w:hAnsi="Calibri" w:cs="DiwanMuna-Bold" w:hint="cs"/>
          <w:b/>
          <w:bCs/>
          <w:color w:val="000059"/>
          <w:sz w:val="30"/>
          <w:szCs w:val="30"/>
          <w:rtl/>
          <w:lang w:bidi="ar-YE"/>
        </w:rPr>
        <w:t xml:space="preserve"> خيار شراء </w:t>
      </w:r>
      <w:r w:rsidR="003613A3" w:rsidRPr="00932CBC">
        <w:rPr>
          <w:rFonts w:ascii="DiwanMuna-Bold" w:eastAsiaTheme="minorEastAsia" w:hAnsi="Calibri" w:cs="DiwanMuna-Bold" w:hint="cs"/>
          <w:b/>
          <w:bCs/>
          <w:color w:val="000059"/>
          <w:sz w:val="30"/>
          <w:szCs w:val="30"/>
          <w:rtl/>
          <w:lang w:bidi="ar-YE"/>
        </w:rPr>
        <w:t>ال</w:t>
      </w:r>
      <w:r w:rsidR="000A11EE" w:rsidRPr="00932CBC">
        <w:rPr>
          <w:rFonts w:ascii="DiwanMuna-Bold" w:eastAsiaTheme="minorEastAsia" w:hAnsi="Calibri" w:cs="DiwanMuna-Bold" w:hint="cs"/>
          <w:b/>
          <w:bCs/>
          <w:color w:val="000059"/>
          <w:sz w:val="30"/>
          <w:szCs w:val="30"/>
          <w:rtl/>
          <w:lang w:bidi="ar-YE"/>
        </w:rPr>
        <w:t xml:space="preserve">أسهم </w:t>
      </w:r>
      <w:r w:rsidR="003613A3" w:rsidRPr="00932CBC">
        <w:rPr>
          <w:rFonts w:ascii="DiwanMuna-Bold" w:eastAsiaTheme="minorEastAsia" w:hAnsi="Calibri" w:cs="DiwanMuna-Bold" w:hint="cs"/>
          <w:b/>
          <w:bCs/>
          <w:color w:val="000059"/>
          <w:sz w:val="30"/>
          <w:szCs w:val="30"/>
          <w:rtl/>
          <w:lang w:bidi="ar-YE"/>
        </w:rPr>
        <w:t>ل</w:t>
      </w:r>
      <w:r w:rsidR="000A11EE" w:rsidRPr="00932CBC">
        <w:rPr>
          <w:rFonts w:ascii="DiwanMuna-Bold" w:eastAsiaTheme="minorEastAsia" w:hAnsi="Calibri" w:cs="DiwanMuna-Bold" w:hint="cs"/>
          <w:b/>
          <w:bCs/>
          <w:color w:val="000059"/>
          <w:sz w:val="30"/>
          <w:szCs w:val="30"/>
          <w:rtl/>
          <w:lang w:bidi="ar-YE"/>
        </w:rPr>
        <w:t xml:space="preserve">لموظفين للهيئة.  </w:t>
      </w:r>
    </w:p>
    <w:p w14:paraId="59849B0F" w14:textId="3DEF9F6B" w:rsidR="00BB31A3" w:rsidRDefault="00B26F60" w:rsidP="00522319">
      <w:pPr>
        <w:widowControl w:val="0"/>
        <w:autoSpaceDE w:val="0"/>
        <w:autoSpaceDN w:val="0"/>
        <w:bidi/>
        <w:adjustRightInd w:val="0"/>
        <w:spacing w:after="0" w:line="276" w:lineRule="auto"/>
        <w:jc w:val="both"/>
        <w:textAlignment w:val="center"/>
        <w:rPr>
          <w:rFonts w:ascii="DiwanMuna-Bold" w:eastAsiaTheme="minorEastAsia" w:hAnsi="Calibri" w:cs="DiwanMuna-Bold"/>
          <w:b/>
          <w:bCs/>
          <w:color w:val="000059"/>
          <w:sz w:val="30"/>
          <w:szCs w:val="30"/>
          <w:rtl/>
          <w:lang w:bidi="ar-YE"/>
        </w:rPr>
      </w:pPr>
      <w:r>
        <w:rPr>
          <w:rFonts w:ascii="DiwanMuna-Bold" w:eastAsiaTheme="minorEastAsia" w:hAnsi="Calibri" w:cs="DiwanMuna-Bold" w:hint="cs"/>
          <w:b/>
          <w:bCs/>
          <w:color w:val="000059"/>
          <w:sz w:val="30"/>
          <w:szCs w:val="30"/>
          <w:rtl/>
          <w:lang w:bidi="ar-YE"/>
        </w:rPr>
        <w:t xml:space="preserve">ب- </w:t>
      </w:r>
      <w:r w:rsidR="00522319">
        <w:rPr>
          <w:rFonts w:ascii="DiwanMuna-Bold" w:eastAsiaTheme="minorEastAsia" w:hAnsi="Calibri" w:cs="DiwanMuna-Bold" w:hint="cs"/>
          <w:b/>
          <w:bCs/>
          <w:color w:val="000059"/>
          <w:sz w:val="30"/>
          <w:szCs w:val="30"/>
          <w:rtl/>
          <w:lang w:bidi="ar-YE"/>
        </w:rPr>
        <w:t xml:space="preserve">يجب أن </w:t>
      </w:r>
      <w:r w:rsidR="00932CBC">
        <w:rPr>
          <w:rFonts w:ascii="DiwanMuna-Bold" w:eastAsiaTheme="minorEastAsia" w:hAnsi="Calibri" w:cs="DiwanMuna-Bold" w:hint="cs"/>
          <w:b/>
          <w:bCs/>
          <w:color w:val="000059"/>
          <w:sz w:val="30"/>
          <w:szCs w:val="30"/>
          <w:rtl/>
          <w:lang w:bidi="ar-YE"/>
        </w:rPr>
        <w:t>يشتمل</w:t>
      </w:r>
      <w:r w:rsidR="00932CBC" w:rsidRPr="001F5924">
        <w:rPr>
          <w:rFonts w:ascii="DiwanMuna-Bold" w:eastAsiaTheme="minorEastAsia" w:hAnsi="Calibri" w:cs="DiwanMuna-Bold" w:hint="cs"/>
          <w:b/>
          <w:bCs/>
          <w:color w:val="000059"/>
          <w:sz w:val="30"/>
          <w:szCs w:val="30"/>
          <w:rtl/>
          <w:lang w:bidi="ar-YE"/>
        </w:rPr>
        <w:t xml:space="preserve"> </w:t>
      </w:r>
      <w:r w:rsidR="00932CBC">
        <w:rPr>
          <w:rFonts w:ascii="DiwanMuna-Bold" w:eastAsiaTheme="minorEastAsia" w:hAnsi="Calibri" w:cs="DiwanMuna-Bold" w:hint="cs"/>
          <w:b/>
          <w:bCs/>
          <w:color w:val="000059"/>
          <w:sz w:val="30"/>
          <w:szCs w:val="30"/>
          <w:rtl/>
          <w:lang w:bidi="ar-YE"/>
        </w:rPr>
        <w:t>نظام</w:t>
      </w:r>
      <w:r w:rsidR="00522319" w:rsidRPr="001F5924">
        <w:rPr>
          <w:rFonts w:ascii="DiwanMuna-Bold" w:eastAsiaTheme="minorEastAsia" w:hAnsi="Calibri" w:cs="DiwanMuna-Bold" w:hint="cs"/>
          <w:b/>
          <w:bCs/>
          <w:color w:val="000059"/>
          <w:sz w:val="30"/>
          <w:szCs w:val="30"/>
          <w:rtl/>
          <w:lang w:bidi="ar-YE"/>
        </w:rPr>
        <w:t xml:space="preserve"> </w:t>
      </w:r>
      <w:r w:rsidR="00E0177C" w:rsidRPr="001F5924">
        <w:rPr>
          <w:rFonts w:ascii="DiwanMuna-Bold" w:eastAsiaTheme="minorEastAsia" w:hAnsi="Calibri" w:cs="DiwanMuna-Bold" w:hint="cs"/>
          <w:b/>
          <w:bCs/>
          <w:color w:val="000059"/>
          <w:sz w:val="30"/>
          <w:szCs w:val="30"/>
          <w:rtl/>
          <w:lang w:bidi="ar-YE"/>
        </w:rPr>
        <w:t xml:space="preserve">خيار شراء </w:t>
      </w:r>
      <w:r w:rsidR="003613A3" w:rsidRPr="001F5924">
        <w:rPr>
          <w:rFonts w:ascii="DiwanMuna-Bold" w:eastAsiaTheme="minorEastAsia" w:hAnsi="Calibri" w:cs="DiwanMuna-Bold" w:hint="cs"/>
          <w:b/>
          <w:bCs/>
          <w:color w:val="000059"/>
          <w:sz w:val="30"/>
          <w:szCs w:val="30"/>
          <w:rtl/>
          <w:lang w:bidi="ar-YE"/>
        </w:rPr>
        <w:t>ال</w:t>
      </w:r>
      <w:r w:rsidR="00E0177C" w:rsidRPr="001F5924">
        <w:rPr>
          <w:rFonts w:ascii="DiwanMuna-Bold" w:eastAsiaTheme="minorEastAsia" w:hAnsi="Calibri" w:cs="DiwanMuna-Bold" w:hint="cs"/>
          <w:b/>
          <w:bCs/>
          <w:color w:val="000059"/>
          <w:sz w:val="30"/>
          <w:szCs w:val="30"/>
          <w:rtl/>
          <w:lang w:bidi="ar-YE"/>
        </w:rPr>
        <w:t xml:space="preserve">أسهم </w:t>
      </w:r>
      <w:r w:rsidR="003613A3" w:rsidRPr="001F5924">
        <w:rPr>
          <w:rFonts w:ascii="DiwanMuna-Bold" w:eastAsiaTheme="minorEastAsia" w:hAnsi="Calibri" w:cs="DiwanMuna-Bold" w:hint="cs"/>
          <w:b/>
          <w:bCs/>
          <w:color w:val="000059"/>
          <w:sz w:val="30"/>
          <w:szCs w:val="30"/>
          <w:rtl/>
          <w:lang w:bidi="ar-YE"/>
        </w:rPr>
        <w:t>ل</w:t>
      </w:r>
      <w:r w:rsidR="00893236" w:rsidRPr="001F5924">
        <w:rPr>
          <w:rFonts w:ascii="DiwanMuna-Bold" w:eastAsiaTheme="minorEastAsia" w:hAnsi="Calibri" w:cs="DiwanMuna-Bold" w:hint="cs"/>
          <w:b/>
          <w:bCs/>
          <w:color w:val="000059"/>
          <w:sz w:val="30"/>
          <w:szCs w:val="30"/>
          <w:rtl/>
          <w:lang w:bidi="ar-YE"/>
        </w:rPr>
        <w:t>لموظفين على المعلومات التالية:</w:t>
      </w:r>
    </w:p>
    <w:p w14:paraId="2CC39EF8" w14:textId="77777777" w:rsidR="00932CBC" w:rsidRPr="00932CBC" w:rsidRDefault="00932CBC" w:rsidP="00932CBC">
      <w:pPr>
        <w:widowControl w:val="0"/>
        <w:autoSpaceDE w:val="0"/>
        <w:autoSpaceDN w:val="0"/>
        <w:bidi/>
        <w:adjustRightInd w:val="0"/>
        <w:spacing w:after="0" w:line="276" w:lineRule="auto"/>
        <w:jc w:val="both"/>
        <w:textAlignment w:val="center"/>
        <w:rPr>
          <w:rFonts w:ascii="DiwanMuna-Bold" w:eastAsiaTheme="minorEastAsia" w:hAnsi="Calibri" w:cs="DiwanMuna-Bold"/>
          <w:b/>
          <w:bCs/>
          <w:color w:val="000059"/>
          <w:sz w:val="16"/>
          <w:szCs w:val="16"/>
          <w:lang w:bidi="ar-YE"/>
        </w:rPr>
      </w:pPr>
    </w:p>
    <w:p w14:paraId="7D4CD5A3" w14:textId="7EB27E6E" w:rsidR="00932CBC" w:rsidRPr="00932CBC" w:rsidRDefault="00932CBC" w:rsidP="00932CBC">
      <w:pPr>
        <w:numPr>
          <w:ilvl w:val="0"/>
          <w:numId w:val="14"/>
        </w:numPr>
        <w:bidi/>
        <w:spacing w:after="200" w:line="276" w:lineRule="auto"/>
        <w:contextualSpacing/>
        <w:jc w:val="both"/>
        <w:rPr>
          <w:rFonts w:ascii="DiwanMuna-Bold" w:eastAsiaTheme="minorEastAsia" w:hAnsi="Calibri" w:cs="DiwanMuna-Bold"/>
          <w:b/>
          <w:bCs/>
          <w:color w:val="000059"/>
          <w:sz w:val="30"/>
          <w:szCs w:val="30"/>
          <w:lang w:bidi="ar-YE"/>
        </w:rPr>
      </w:pPr>
      <w:r w:rsidRPr="001F5924">
        <w:rPr>
          <w:rFonts w:ascii="DiwanMuna-Bold" w:eastAsiaTheme="minorEastAsia" w:hAnsi="Calibri" w:cs="DiwanMuna-Bold" w:hint="cs"/>
          <w:b/>
          <w:bCs/>
          <w:color w:val="000059"/>
          <w:sz w:val="30"/>
          <w:szCs w:val="30"/>
          <w:rtl/>
          <w:lang w:bidi="ar-YE"/>
        </w:rPr>
        <w:t xml:space="preserve">مدة </w:t>
      </w:r>
      <w:r>
        <w:rPr>
          <w:rFonts w:ascii="DiwanMuna-Bold" w:eastAsiaTheme="minorEastAsia" w:hAnsi="Calibri" w:cs="DiwanMuna-Bold" w:hint="cs"/>
          <w:b/>
          <w:bCs/>
          <w:color w:val="000059"/>
          <w:sz w:val="30"/>
          <w:szCs w:val="30"/>
          <w:rtl/>
          <w:lang w:bidi="ar-YE"/>
        </w:rPr>
        <w:t>النظام</w:t>
      </w:r>
      <w:r w:rsidR="00E0177C" w:rsidRPr="001F5924">
        <w:rPr>
          <w:rFonts w:ascii="DiwanMuna-Bold" w:eastAsiaTheme="minorEastAsia" w:hAnsi="Calibri" w:cs="DiwanMuna-Bold"/>
          <w:b/>
          <w:bCs/>
          <w:color w:val="000059"/>
          <w:sz w:val="30"/>
          <w:szCs w:val="30"/>
          <w:rtl/>
          <w:lang w:bidi="ar-YE"/>
        </w:rPr>
        <w:t>.</w:t>
      </w:r>
    </w:p>
    <w:p w14:paraId="024F6B21" w14:textId="77777777" w:rsidR="00661BAC" w:rsidRDefault="00661BAC" w:rsidP="00932CBC">
      <w:pPr>
        <w:numPr>
          <w:ilvl w:val="0"/>
          <w:numId w:val="14"/>
        </w:numPr>
        <w:bidi/>
        <w:spacing w:after="200" w:line="276" w:lineRule="auto"/>
        <w:contextualSpacing/>
        <w:jc w:val="both"/>
        <w:rPr>
          <w:rFonts w:ascii="DiwanMuna-Bold" w:eastAsiaTheme="minorEastAsia" w:hAnsi="Calibri" w:cs="DiwanMuna-Bold"/>
          <w:b/>
          <w:bCs/>
          <w:color w:val="000059"/>
          <w:sz w:val="30"/>
          <w:szCs w:val="30"/>
          <w:lang w:bidi="ar-YE"/>
        </w:rPr>
      </w:pPr>
      <w:r>
        <w:rPr>
          <w:rFonts w:ascii="DiwanMuna-Bold" w:eastAsiaTheme="minorEastAsia" w:hAnsi="Calibri" w:cs="DiwanMuna-Bold" w:hint="cs"/>
          <w:b/>
          <w:bCs/>
          <w:color w:val="000059"/>
          <w:sz w:val="30"/>
          <w:szCs w:val="30"/>
          <w:rtl/>
          <w:lang w:bidi="ar-YE"/>
        </w:rPr>
        <w:lastRenderedPageBreak/>
        <w:t>بيان أثر تطبيق النظام على أداء الشركة.</w:t>
      </w:r>
    </w:p>
    <w:p w14:paraId="3BCD7062" w14:textId="267EB52D" w:rsidR="00661BAC" w:rsidRPr="00652A79" w:rsidRDefault="00661BAC" w:rsidP="00932CBC">
      <w:pPr>
        <w:numPr>
          <w:ilvl w:val="0"/>
          <w:numId w:val="14"/>
        </w:numPr>
        <w:bidi/>
        <w:spacing w:after="200" w:line="276" w:lineRule="auto"/>
        <w:contextualSpacing/>
        <w:jc w:val="both"/>
        <w:rPr>
          <w:rFonts w:ascii="DiwanMuna-Bold" w:eastAsiaTheme="minorEastAsia" w:hAnsi="Calibri" w:cs="DiwanMuna-Bold"/>
          <w:b/>
          <w:bCs/>
          <w:color w:val="000059"/>
          <w:sz w:val="30"/>
          <w:szCs w:val="30"/>
          <w:rtl/>
          <w:lang w:bidi="ar-YE"/>
        </w:rPr>
      </w:pPr>
      <w:r w:rsidRPr="00661BAC">
        <w:rPr>
          <w:rFonts w:ascii="DiwanMuna-Bold" w:eastAsiaTheme="minorEastAsia" w:hAnsi="Calibri" w:cs="DiwanMuna-Bold" w:hint="cs"/>
          <w:b/>
          <w:bCs/>
          <w:color w:val="000059"/>
          <w:sz w:val="30"/>
          <w:szCs w:val="30"/>
          <w:rtl/>
          <w:lang w:bidi="ar-YE"/>
        </w:rPr>
        <w:t xml:space="preserve">بيان التكلفة </w:t>
      </w:r>
      <w:r w:rsidR="00131FA1">
        <w:rPr>
          <w:rFonts w:ascii="DiwanMuna-Bold" w:eastAsiaTheme="minorEastAsia" w:hAnsi="Calibri" w:cs="DiwanMuna-Bold" w:hint="cs"/>
          <w:b/>
          <w:bCs/>
          <w:color w:val="000059"/>
          <w:sz w:val="30"/>
          <w:szCs w:val="30"/>
          <w:rtl/>
          <w:lang w:bidi="ar-YE"/>
        </w:rPr>
        <w:t>التي</w:t>
      </w:r>
      <w:r w:rsidRPr="00661BAC">
        <w:rPr>
          <w:rFonts w:ascii="DiwanMuna-Bold" w:eastAsiaTheme="minorEastAsia" w:hAnsi="Calibri" w:cs="DiwanMuna-Bold" w:hint="cs"/>
          <w:b/>
          <w:bCs/>
          <w:color w:val="000059"/>
          <w:sz w:val="30"/>
          <w:szCs w:val="30"/>
          <w:rtl/>
          <w:lang w:bidi="ar-YE"/>
        </w:rPr>
        <w:t xml:space="preserve"> </w:t>
      </w:r>
      <w:proofErr w:type="spellStart"/>
      <w:r w:rsidR="002F0D13">
        <w:rPr>
          <w:rFonts w:ascii="DiwanMuna-Bold" w:eastAsiaTheme="minorEastAsia" w:hAnsi="Calibri" w:cs="DiwanMuna-Bold" w:hint="cs"/>
          <w:b/>
          <w:bCs/>
          <w:color w:val="000059"/>
          <w:sz w:val="30"/>
          <w:szCs w:val="30"/>
          <w:rtl/>
          <w:lang w:bidi="ar-YE"/>
        </w:rPr>
        <w:t>ت</w:t>
      </w:r>
      <w:r w:rsidR="00932CBC" w:rsidRPr="00661BAC">
        <w:rPr>
          <w:rFonts w:ascii="DiwanMuna-Bold" w:eastAsiaTheme="minorEastAsia" w:hAnsi="Calibri" w:cs="DiwanMuna-Bold" w:hint="cs"/>
          <w:b/>
          <w:bCs/>
          <w:color w:val="000059"/>
          <w:sz w:val="30"/>
          <w:szCs w:val="30"/>
          <w:rtl/>
          <w:lang w:bidi="ar-YE"/>
        </w:rPr>
        <w:t>تكبدها</w:t>
      </w:r>
      <w:proofErr w:type="spellEnd"/>
      <w:r w:rsidRPr="00661BAC">
        <w:rPr>
          <w:rFonts w:ascii="DiwanMuna-Bold" w:eastAsiaTheme="minorEastAsia" w:hAnsi="Calibri" w:cs="DiwanMuna-Bold" w:hint="cs"/>
          <w:b/>
          <w:bCs/>
          <w:color w:val="000059"/>
          <w:sz w:val="30"/>
          <w:szCs w:val="30"/>
          <w:rtl/>
          <w:lang w:bidi="ar-YE"/>
        </w:rPr>
        <w:t xml:space="preserve"> الشركة بسبب تطبيق النظام</w:t>
      </w:r>
      <w:r w:rsidR="0002075A">
        <w:rPr>
          <w:rFonts w:ascii="DiwanMuna-Bold" w:eastAsiaTheme="minorEastAsia" w:hAnsi="Calibri" w:cs="DiwanMuna-Bold" w:hint="cs"/>
          <w:b/>
          <w:bCs/>
          <w:color w:val="000059"/>
          <w:sz w:val="30"/>
          <w:szCs w:val="30"/>
          <w:rtl/>
          <w:lang w:bidi="ar-YE"/>
        </w:rPr>
        <w:t>،</w:t>
      </w:r>
      <w:r w:rsidRPr="00661BAC">
        <w:rPr>
          <w:rFonts w:ascii="DiwanMuna-Bold" w:eastAsiaTheme="minorEastAsia" w:hAnsi="Calibri" w:cs="DiwanMuna-Bold" w:hint="cs"/>
          <w:b/>
          <w:bCs/>
          <w:color w:val="000059"/>
          <w:sz w:val="30"/>
          <w:szCs w:val="30"/>
          <w:rtl/>
          <w:lang w:bidi="ar-YE"/>
        </w:rPr>
        <w:t xml:space="preserve"> والمنافع </w:t>
      </w:r>
      <w:r w:rsidR="00131FA1">
        <w:rPr>
          <w:rFonts w:ascii="DiwanMuna-Bold" w:eastAsiaTheme="minorEastAsia" w:hAnsi="Calibri" w:cs="DiwanMuna-Bold" w:hint="cs"/>
          <w:b/>
          <w:bCs/>
          <w:color w:val="000059"/>
          <w:sz w:val="30"/>
          <w:szCs w:val="30"/>
          <w:rtl/>
          <w:lang w:bidi="ar-YE"/>
        </w:rPr>
        <w:t>التي</w:t>
      </w:r>
      <w:r w:rsidRPr="00661BAC">
        <w:rPr>
          <w:rFonts w:ascii="DiwanMuna-Bold" w:eastAsiaTheme="minorEastAsia" w:hAnsi="Calibri" w:cs="DiwanMuna-Bold" w:hint="cs"/>
          <w:b/>
          <w:bCs/>
          <w:color w:val="000059"/>
          <w:sz w:val="30"/>
          <w:szCs w:val="30"/>
          <w:rtl/>
          <w:lang w:bidi="ar-YE"/>
        </w:rPr>
        <w:t xml:space="preserve"> تعود على الشركة من تطبيق النظام.</w:t>
      </w:r>
    </w:p>
    <w:p w14:paraId="535D3D90" w14:textId="77777777" w:rsidR="00E0177C" w:rsidRDefault="00E0177C" w:rsidP="00932CBC">
      <w:pPr>
        <w:numPr>
          <w:ilvl w:val="0"/>
          <w:numId w:val="14"/>
        </w:numPr>
        <w:bidi/>
        <w:spacing w:after="200" w:line="276" w:lineRule="auto"/>
        <w:contextualSpacing/>
        <w:jc w:val="both"/>
        <w:rPr>
          <w:rFonts w:ascii="DiwanMuna-Bold" w:eastAsiaTheme="minorEastAsia" w:hAnsi="Calibri" w:cs="DiwanMuna-Bold"/>
          <w:b/>
          <w:bCs/>
          <w:color w:val="000059"/>
          <w:sz w:val="30"/>
          <w:szCs w:val="30"/>
          <w:lang w:bidi="ar-YE"/>
        </w:rPr>
      </w:pPr>
      <w:r w:rsidRPr="001F5924">
        <w:rPr>
          <w:rFonts w:ascii="DiwanMuna-Bold" w:eastAsiaTheme="minorEastAsia" w:hAnsi="Calibri" w:cs="DiwanMuna-Bold"/>
          <w:b/>
          <w:bCs/>
          <w:color w:val="000059"/>
          <w:sz w:val="30"/>
          <w:szCs w:val="30"/>
          <w:rtl/>
          <w:lang w:bidi="ar-YE"/>
        </w:rPr>
        <w:t>عدد الأسهم المخصصة</w:t>
      </w:r>
      <w:r w:rsidR="00522319">
        <w:rPr>
          <w:rFonts w:ascii="DiwanMuna-Bold" w:eastAsiaTheme="minorEastAsia" w:hAnsi="Calibri" w:cs="DiwanMuna-Bold" w:hint="cs"/>
          <w:b/>
          <w:bCs/>
          <w:color w:val="000059"/>
          <w:sz w:val="30"/>
          <w:szCs w:val="30"/>
          <w:rtl/>
          <w:lang w:bidi="ar-YE"/>
        </w:rPr>
        <w:t xml:space="preserve"> لتنفيذ النظام</w:t>
      </w:r>
      <w:r w:rsidR="005826E7">
        <w:rPr>
          <w:rFonts w:ascii="DiwanMuna-Bold" w:eastAsiaTheme="minorEastAsia" w:hAnsi="Calibri" w:cs="DiwanMuna-Bold" w:hint="cs"/>
          <w:b/>
          <w:bCs/>
          <w:color w:val="000059"/>
          <w:sz w:val="30"/>
          <w:szCs w:val="30"/>
          <w:rtl/>
          <w:lang w:bidi="ar-YE"/>
        </w:rPr>
        <w:t xml:space="preserve"> ومصادر توفيرها</w:t>
      </w:r>
      <w:r w:rsidRPr="001F5924">
        <w:rPr>
          <w:rFonts w:ascii="DiwanMuna-Bold" w:eastAsiaTheme="minorEastAsia" w:hAnsi="Calibri" w:cs="DiwanMuna-Bold"/>
          <w:b/>
          <w:bCs/>
          <w:color w:val="000059"/>
          <w:sz w:val="30"/>
          <w:szCs w:val="30"/>
          <w:rtl/>
          <w:lang w:bidi="ar-YE"/>
        </w:rPr>
        <w:t>.</w:t>
      </w:r>
    </w:p>
    <w:p w14:paraId="3B0FA59D" w14:textId="631DAEAC" w:rsidR="00661BAC" w:rsidRDefault="00B377D2" w:rsidP="0002075A">
      <w:pPr>
        <w:numPr>
          <w:ilvl w:val="0"/>
          <w:numId w:val="14"/>
        </w:numPr>
        <w:bidi/>
        <w:spacing w:after="200" w:line="276" w:lineRule="auto"/>
        <w:contextualSpacing/>
        <w:jc w:val="both"/>
        <w:rPr>
          <w:rFonts w:ascii="DiwanMuna-Bold" w:eastAsiaTheme="minorEastAsia" w:hAnsi="Calibri" w:cs="DiwanMuna-Bold"/>
          <w:b/>
          <w:bCs/>
          <w:color w:val="000059"/>
          <w:sz w:val="30"/>
          <w:szCs w:val="30"/>
          <w:lang w:bidi="ar-YE"/>
        </w:rPr>
      </w:pPr>
      <w:r>
        <w:rPr>
          <w:rFonts w:ascii="DiwanMuna-Bold" w:eastAsiaTheme="minorEastAsia" w:hAnsi="Calibri" w:cs="DiwanMuna-Bold" w:hint="cs"/>
          <w:b/>
          <w:bCs/>
          <w:color w:val="000059"/>
          <w:sz w:val="30"/>
          <w:szCs w:val="30"/>
          <w:rtl/>
          <w:lang w:bidi="ar-YE"/>
        </w:rPr>
        <w:t xml:space="preserve">شروط منح خيار </w:t>
      </w:r>
      <w:r w:rsidR="005826E7">
        <w:rPr>
          <w:rFonts w:ascii="DiwanMuna-Bold" w:eastAsiaTheme="minorEastAsia" w:hAnsi="Calibri" w:cs="DiwanMuna-Bold" w:hint="cs"/>
          <w:b/>
          <w:bCs/>
          <w:color w:val="000059"/>
          <w:sz w:val="30"/>
          <w:szCs w:val="30"/>
          <w:rtl/>
          <w:lang w:bidi="ar-YE"/>
        </w:rPr>
        <w:t>الشراء للمستفيدين،</w:t>
      </w:r>
      <w:r>
        <w:rPr>
          <w:rFonts w:ascii="DiwanMuna-Bold" w:eastAsiaTheme="minorEastAsia" w:hAnsi="Calibri" w:cs="DiwanMuna-Bold" w:hint="cs"/>
          <w:b/>
          <w:bCs/>
          <w:color w:val="000059"/>
          <w:sz w:val="30"/>
          <w:szCs w:val="30"/>
          <w:rtl/>
          <w:lang w:bidi="ar-YE"/>
        </w:rPr>
        <w:t xml:space="preserve"> </w:t>
      </w:r>
      <w:r w:rsidR="00661BAC">
        <w:rPr>
          <w:rFonts w:ascii="DiwanMuna-Bold" w:eastAsiaTheme="minorEastAsia" w:hAnsi="Calibri" w:cs="DiwanMuna-Bold" w:hint="cs"/>
          <w:b/>
          <w:bCs/>
          <w:color w:val="000059"/>
          <w:sz w:val="30"/>
          <w:szCs w:val="30"/>
          <w:rtl/>
          <w:lang w:bidi="ar-YE"/>
        </w:rPr>
        <w:t>و</w:t>
      </w:r>
      <w:r w:rsidR="00816680">
        <w:rPr>
          <w:rFonts w:ascii="DiwanMuna-Bold" w:eastAsiaTheme="minorEastAsia" w:hAnsi="Calibri" w:cs="DiwanMuna-Bold" w:hint="cs"/>
          <w:b/>
          <w:bCs/>
          <w:color w:val="000059"/>
          <w:sz w:val="30"/>
          <w:szCs w:val="30"/>
          <w:rtl/>
          <w:lang w:bidi="ar-YE"/>
        </w:rPr>
        <w:t xml:space="preserve">على </w:t>
      </w:r>
      <w:r w:rsidR="00744993">
        <w:rPr>
          <w:rFonts w:ascii="DiwanMuna-Bold" w:eastAsiaTheme="minorEastAsia" w:hAnsi="Calibri" w:cs="DiwanMuna-Bold" w:hint="cs"/>
          <w:b/>
          <w:bCs/>
          <w:color w:val="000059"/>
          <w:sz w:val="30"/>
          <w:szCs w:val="30"/>
          <w:rtl/>
          <w:lang w:bidi="ar-YE"/>
        </w:rPr>
        <w:t>الأخص ما</w:t>
      </w:r>
      <w:r w:rsidR="00661BAC">
        <w:rPr>
          <w:rFonts w:ascii="DiwanMuna-Bold" w:eastAsiaTheme="minorEastAsia" w:hAnsi="Calibri" w:cs="DiwanMuna-Bold" w:hint="cs"/>
          <w:b/>
          <w:bCs/>
          <w:color w:val="000059"/>
          <w:sz w:val="30"/>
          <w:szCs w:val="30"/>
          <w:rtl/>
          <w:lang w:bidi="ar-YE"/>
        </w:rPr>
        <w:t xml:space="preserve"> يفيد </w:t>
      </w:r>
      <w:r w:rsidR="00932CBC">
        <w:rPr>
          <w:rFonts w:ascii="DiwanMuna-Bold" w:eastAsiaTheme="minorEastAsia" w:hAnsi="Calibri" w:cs="DiwanMuna-Bold" w:hint="cs"/>
          <w:b/>
          <w:bCs/>
          <w:color w:val="000059"/>
          <w:sz w:val="30"/>
          <w:szCs w:val="30"/>
          <w:rtl/>
          <w:lang w:bidi="ar-YE"/>
        </w:rPr>
        <w:t>ارتباط</w:t>
      </w:r>
      <w:r w:rsidR="00661BAC">
        <w:rPr>
          <w:rFonts w:ascii="DiwanMuna-Bold" w:eastAsiaTheme="minorEastAsia" w:hAnsi="Calibri" w:cs="DiwanMuna-Bold" w:hint="cs"/>
          <w:b/>
          <w:bCs/>
          <w:color w:val="000059"/>
          <w:sz w:val="30"/>
          <w:szCs w:val="30"/>
          <w:rtl/>
          <w:lang w:bidi="ar-YE"/>
        </w:rPr>
        <w:t xml:space="preserve"> استحقاق المستفيد لخيار الشراء بتقارير </w:t>
      </w:r>
      <w:r w:rsidR="00932CBC">
        <w:rPr>
          <w:rFonts w:ascii="DiwanMuna-Bold" w:eastAsiaTheme="minorEastAsia" w:hAnsi="Calibri" w:cs="DiwanMuna-Bold" w:hint="cs"/>
          <w:b/>
          <w:bCs/>
          <w:color w:val="000059"/>
          <w:sz w:val="30"/>
          <w:szCs w:val="30"/>
          <w:rtl/>
          <w:lang w:bidi="ar-YE"/>
        </w:rPr>
        <w:t>أدائه.</w:t>
      </w:r>
    </w:p>
    <w:p w14:paraId="62514BE1" w14:textId="1D423B75" w:rsidR="00B377D2" w:rsidRDefault="00B377D2" w:rsidP="00932CBC">
      <w:pPr>
        <w:numPr>
          <w:ilvl w:val="0"/>
          <w:numId w:val="14"/>
        </w:numPr>
        <w:bidi/>
        <w:spacing w:after="200" w:line="276" w:lineRule="auto"/>
        <w:contextualSpacing/>
        <w:jc w:val="both"/>
        <w:rPr>
          <w:rFonts w:ascii="DiwanMuna-Bold" w:eastAsiaTheme="minorEastAsia" w:hAnsi="Calibri" w:cs="DiwanMuna-Bold"/>
          <w:b/>
          <w:bCs/>
          <w:color w:val="000059"/>
          <w:sz w:val="30"/>
          <w:szCs w:val="30"/>
          <w:lang w:bidi="ar-YE"/>
        </w:rPr>
      </w:pPr>
      <w:r>
        <w:rPr>
          <w:rFonts w:ascii="DiwanMuna-Bold" w:eastAsiaTheme="minorEastAsia" w:hAnsi="Calibri" w:cs="DiwanMuna-Bold" w:hint="cs"/>
          <w:b/>
          <w:bCs/>
          <w:color w:val="000059"/>
          <w:sz w:val="30"/>
          <w:szCs w:val="30"/>
          <w:rtl/>
          <w:lang w:bidi="ar-YE"/>
        </w:rPr>
        <w:t xml:space="preserve">طريقة </w:t>
      </w:r>
      <w:r w:rsidR="005826E7">
        <w:rPr>
          <w:rFonts w:ascii="DiwanMuna-Bold" w:eastAsiaTheme="minorEastAsia" w:hAnsi="Calibri" w:cs="DiwanMuna-Bold" w:hint="cs"/>
          <w:b/>
          <w:bCs/>
          <w:color w:val="000059"/>
          <w:sz w:val="30"/>
          <w:szCs w:val="30"/>
          <w:rtl/>
          <w:lang w:bidi="ar-YE"/>
        </w:rPr>
        <w:t xml:space="preserve">ممارسة المستحق لخيار </w:t>
      </w:r>
      <w:r w:rsidR="00932CBC">
        <w:rPr>
          <w:rFonts w:ascii="DiwanMuna-Bold" w:eastAsiaTheme="minorEastAsia" w:hAnsi="Calibri" w:cs="DiwanMuna-Bold" w:hint="cs"/>
          <w:b/>
          <w:bCs/>
          <w:color w:val="000059"/>
          <w:sz w:val="30"/>
          <w:szCs w:val="30"/>
          <w:rtl/>
          <w:lang w:bidi="ar-YE"/>
        </w:rPr>
        <w:t>الشراء،</w:t>
      </w:r>
      <w:r w:rsidR="005826E7">
        <w:rPr>
          <w:rFonts w:ascii="DiwanMuna-Bold" w:eastAsiaTheme="minorEastAsia" w:hAnsi="Calibri" w:cs="DiwanMuna-Bold" w:hint="cs"/>
          <w:b/>
          <w:bCs/>
          <w:color w:val="000059"/>
          <w:sz w:val="30"/>
          <w:szCs w:val="30"/>
          <w:rtl/>
          <w:lang w:bidi="ar-YE"/>
        </w:rPr>
        <w:t xml:space="preserve"> وشروط نقل ملكية الأسهم </w:t>
      </w:r>
      <w:r w:rsidR="00932CBC">
        <w:rPr>
          <w:rFonts w:ascii="DiwanMuna-Bold" w:eastAsiaTheme="minorEastAsia" w:hAnsi="Calibri" w:cs="DiwanMuna-Bold" w:hint="cs"/>
          <w:b/>
          <w:bCs/>
          <w:color w:val="000059"/>
          <w:sz w:val="30"/>
          <w:szCs w:val="30"/>
          <w:rtl/>
          <w:lang w:bidi="ar-YE"/>
        </w:rPr>
        <w:t>للمستحقين،</w:t>
      </w:r>
      <w:r w:rsidR="005826E7">
        <w:rPr>
          <w:rFonts w:ascii="DiwanMuna-Bold" w:eastAsiaTheme="minorEastAsia" w:hAnsi="Calibri" w:cs="DiwanMuna-Bold" w:hint="cs"/>
          <w:b/>
          <w:bCs/>
          <w:color w:val="000059"/>
          <w:sz w:val="30"/>
          <w:szCs w:val="30"/>
          <w:rtl/>
          <w:lang w:bidi="ar-YE"/>
        </w:rPr>
        <w:t xml:space="preserve"> وما إذا كان نقل الملكية سيكون مقترنا بالمنع من التصرف من </w:t>
      </w:r>
      <w:r w:rsidR="00932CBC">
        <w:rPr>
          <w:rFonts w:ascii="DiwanMuna-Bold" w:eastAsiaTheme="minorEastAsia" w:hAnsi="Calibri" w:cs="DiwanMuna-Bold" w:hint="cs"/>
          <w:b/>
          <w:bCs/>
          <w:color w:val="000059"/>
          <w:sz w:val="30"/>
          <w:szCs w:val="30"/>
          <w:rtl/>
          <w:lang w:bidi="ar-YE"/>
        </w:rPr>
        <w:t>عدمه،</w:t>
      </w:r>
      <w:r w:rsidR="005826E7">
        <w:rPr>
          <w:rFonts w:ascii="DiwanMuna-Bold" w:eastAsiaTheme="minorEastAsia" w:hAnsi="Calibri" w:cs="DiwanMuna-Bold" w:hint="cs"/>
          <w:b/>
          <w:bCs/>
          <w:color w:val="000059"/>
          <w:sz w:val="30"/>
          <w:szCs w:val="30"/>
          <w:rtl/>
          <w:lang w:bidi="ar-YE"/>
        </w:rPr>
        <w:t xml:space="preserve"> وشروط رفع المنع.</w:t>
      </w:r>
    </w:p>
    <w:p w14:paraId="5EC5BBD2" w14:textId="781195C1" w:rsidR="008F63DC" w:rsidRPr="00744993" w:rsidRDefault="008F63DC" w:rsidP="00744993">
      <w:pPr>
        <w:numPr>
          <w:ilvl w:val="0"/>
          <w:numId w:val="14"/>
        </w:numPr>
        <w:bidi/>
        <w:spacing w:after="200" w:line="276" w:lineRule="auto"/>
        <w:contextualSpacing/>
        <w:jc w:val="both"/>
        <w:rPr>
          <w:rFonts w:ascii="DiwanMuna-Bold" w:eastAsiaTheme="minorEastAsia" w:hAnsi="Calibri" w:cs="DiwanMuna-Bold"/>
          <w:b/>
          <w:bCs/>
          <w:color w:val="000059"/>
          <w:sz w:val="30"/>
          <w:szCs w:val="30"/>
          <w:rtl/>
          <w:lang w:bidi="ar-YE"/>
        </w:rPr>
      </w:pPr>
      <w:r>
        <w:rPr>
          <w:rFonts w:ascii="DiwanMuna-Bold" w:eastAsiaTheme="minorEastAsia" w:hAnsi="Calibri" w:cs="DiwanMuna-Bold" w:hint="cs"/>
          <w:b/>
          <w:bCs/>
          <w:color w:val="000059"/>
          <w:sz w:val="30"/>
          <w:szCs w:val="30"/>
          <w:rtl/>
          <w:lang w:bidi="ar-YE"/>
        </w:rPr>
        <w:t>مدة</w:t>
      </w:r>
      <w:r w:rsidRPr="001F5924">
        <w:rPr>
          <w:rFonts w:ascii="DiwanMuna-Bold" w:eastAsiaTheme="minorEastAsia" w:hAnsi="Calibri" w:cs="DiwanMuna-Bold" w:hint="cs"/>
          <w:b/>
          <w:bCs/>
          <w:color w:val="000059"/>
          <w:sz w:val="30"/>
          <w:szCs w:val="30"/>
          <w:rtl/>
          <w:lang w:bidi="ar-YE"/>
        </w:rPr>
        <w:t xml:space="preserve"> </w:t>
      </w:r>
      <w:r>
        <w:rPr>
          <w:rFonts w:ascii="DiwanMuna-Bold" w:eastAsiaTheme="minorEastAsia" w:hAnsi="Calibri" w:cs="DiwanMuna-Bold" w:hint="cs"/>
          <w:b/>
          <w:bCs/>
          <w:color w:val="000059"/>
          <w:sz w:val="30"/>
          <w:szCs w:val="30"/>
          <w:rtl/>
          <w:lang w:bidi="ar-YE"/>
        </w:rPr>
        <w:t xml:space="preserve">منع </w:t>
      </w:r>
      <w:r w:rsidRPr="001F5924">
        <w:rPr>
          <w:rFonts w:ascii="DiwanMuna-Bold" w:eastAsiaTheme="minorEastAsia" w:hAnsi="Calibri" w:cs="DiwanMuna-Bold" w:hint="cs"/>
          <w:b/>
          <w:bCs/>
          <w:color w:val="000059"/>
          <w:sz w:val="30"/>
          <w:szCs w:val="30"/>
          <w:rtl/>
          <w:lang w:bidi="ar-YE"/>
        </w:rPr>
        <w:t>المستحقين</w:t>
      </w:r>
      <w:r>
        <w:rPr>
          <w:rFonts w:ascii="DiwanMuna-Bold" w:eastAsiaTheme="minorEastAsia" w:hAnsi="Calibri" w:cs="DiwanMuna-Bold" w:hint="cs"/>
          <w:b/>
          <w:bCs/>
          <w:color w:val="000059"/>
          <w:sz w:val="30"/>
          <w:szCs w:val="30"/>
          <w:rtl/>
          <w:lang w:bidi="ar-YE"/>
        </w:rPr>
        <w:t xml:space="preserve"> من </w:t>
      </w:r>
      <w:r w:rsidRPr="001F5924">
        <w:rPr>
          <w:rFonts w:ascii="DiwanMuna-Bold" w:eastAsiaTheme="minorEastAsia" w:hAnsi="Calibri" w:cs="DiwanMuna-Bold" w:hint="cs"/>
          <w:b/>
          <w:bCs/>
          <w:color w:val="000059"/>
          <w:sz w:val="30"/>
          <w:szCs w:val="30"/>
          <w:rtl/>
          <w:lang w:bidi="ar-YE"/>
        </w:rPr>
        <w:t xml:space="preserve">التصرف في </w:t>
      </w:r>
      <w:r>
        <w:rPr>
          <w:rFonts w:ascii="DiwanMuna-Bold" w:eastAsiaTheme="minorEastAsia" w:hAnsi="Calibri" w:cs="DiwanMuna-Bold" w:hint="cs"/>
          <w:b/>
          <w:bCs/>
          <w:color w:val="000059"/>
          <w:sz w:val="30"/>
          <w:szCs w:val="30"/>
          <w:rtl/>
          <w:lang w:bidi="ar-YE"/>
        </w:rPr>
        <w:t>الأسهم والحالات المستثناة من المنع إن وجدت.</w:t>
      </w:r>
    </w:p>
    <w:p w14:paraId="63D8DA64" w14:textId="77777777" w:rsidR="00E0177C" w:rsidRPr="001F5924" w:rsidRDefault="00E0177C" w:rsidP="00932CBC">
      <w:pPr>
        <w:numPr>
          <w:ilvl w:val="0"/>
          <w:numId w:val="14"/>
        </w:numPr>
        <w:bidi/>
        <w:spacing w:after="200" w:line="276" w:lineRule="auto"/>
        <w:contextualSpacing/>
        <w:jc w:val="both"/>
        <w:rPr>
          <w:rFonts w:ascii="DiwanMuna-Bold" w:eastAsiaTheme="minorEastAsia" w:hAnsi="Calibri" w:cs="DiwanMuna-Bold"/>
          <w:b/>
          <w:bCs/>
          <w:color w:val="000059"/>
          <w:sz w:val="30"/>
          <w:szCs w:val="30"/>
          <w:rtl/>
          <w:lang w:bidi="ar-YE"/>
        </w:rPr>
      </w:pPr>
      <w:r w:rsidRPr="001F5924">
        <w:rPr>
          <w:rFonts w:ascii="DiwanMuna-Bold" w:eastAsiaTheme="minorEastAsia" w:hAnsi="Calibri" w:cs="DiwanMuna-Bold"/>
          <w:b/>
          <w:bCs/>
          <w:color w:val="000059"/>
          <w:sz w:val="30"/>
          <w:szCs w:val="30"/>
          <w:rtl/>
          <w:lang w:bidi="ar-YE"/>
        </w:rPr>
        <w:t>سعر التنفيذ</w:t>
      </w:r>
      <w:r w:rsidR="00522319">
        <w:rPr>
          <w:rFonts w:ascii="DiwanMuna-Bold" w:eastAsiaTheme="minorEastAsia" w:hAnsi="Calibri" w:cs="DiwanMuna-Bold" w:hint="cs"/>
          <w:b/>
          <w:bCs/>
          <w:color w:val="000059"/>
          <w:sz w:val="30"/>
          <w:szCs w:val="30"/>
          <w:rtl/>
          <w:lang w:bidi="ar-YE"/>
        </w:rPr>
        <w:t xml:space="preserve"> أو طريقة تحديد السعر</w:t>
      </w:r>
      <w:r w:rsidR="005826E7">
        <w:rPr>
          <w:rFonts w:ascii="DiwanMuna-Bold" w:eastAsiaTheme="minorEastAsia" w:hAnsi="Calibri" w:cs="DiwanMuna-Bold" w:hint="cs"/>
          <w:b/>
          <w:bCs/>
          <w:color w:val="000059"/>
          <w:sz w:val="30"/>
          <w:szCs w:val="30"/>
          <w:rtl/>
          <w:lang w:bidi="ar-YE"/>
        </w:rPr>
        <w:t>، وطريقة دفعه</w:t>
      </w:r>
      <w:r w:rsidRPr="001F5924">
        <w:rPr>
          <w:rFonts w:ascii="DiwanMuna-Bold" w:eastAsiaTheme="minorEastAsia" w:hAnsi="Calibri" w:cs="DiwanMuna-Bold"/>
          <w:b/>
          <w:bCs/>
          <w:color w:val="000059"/>
          <w:sz w:val="30"/>
          <w:szCs w:val="30"/>
          <w:rtl/>
          <w:lang w:bidi="ar-YE"/>
        </w:rPr>
        <w:t>.</w:t>
      </w:r>
    </w:p>
    <w:p w14:paraId="113F1E80" w14:textId="51B5D1F9" w:rsidR="00E0177C" w:rsidRPr="001F5924" w:rsidRDefault="00E0177C" w:rsidP="00932CBC">
      <w:pPr>
        <w:numPr>
          <w:ilvl w:val="0"/>
          <w:numId w:val="14"/>
        </w:numPr>
        <w:bidi/>
        <w:spacing w:after="200" w:line="276" w:lineRule="auto"/>
        <w:contextualSpacing/>
        <w:jc w:val="both"/>
        <w:rPr>
          <w:rFonts w:ascii="DiwanMuna-Bold" w:eastAsiaTheme="minorEastAsia" w:hAnsi="Calibri" w:cs="DiwanMuna-Bold"/>
          <w:b/>
          <w:bCs/>
          <w:color w:val="000059"/>
          <w:sz w:val="30"/>
          <w:szCs w:val="30"/>
          <w:rtl/>
          <w:lang w:bidi="ar-YE"/>
        </w:rPr>
      </w:pPr>
      <w:r w:rsidRPr="001F5924">
        <w:rPr>
          <w:rFonts w:ascii="DiwanMuna-Bold" w:eastAsiaTheme="minorEastAsia" w:hAnsi="Calibri" w:cs="DiwanMuna-Bold"/>
          <w:b/>
          <w:bCs/>
          <w:color w:val="000059"/>
          <w:sz w:val="30"/>
          <w:szCs w:val="30"/>
          <w:rtl/>
          <w:lang w:bidi="ar-YE"/>
        </w:rPr>
        <w:t xml:space="preserve">المستويات الوظيفية التي ستستفيد </w:t>
      </w:r>
      <w:r w:rsidR="00932CBC" w:rsidRPr="001F5924">
        <w:rPr>
          <w:rFonts w:ascii="DiwanMuna-Bold" w:eastAsiaTheme="minorEastAsia" w:hAnsi="Calibri" w:cs="DiwanMuna-Bold" w:hint="cs"/>
          <w:b/>
          <w:bCs/>
          <w:color w:val="000059"/>
          <w:sz w:val="30"/>
          <w:szCs w:val="30"/>
          <w:rtl/>
          <w:lang w:bidi="ar-YE"/>
        </w:rPr>
        <w:t xml:space="preserve">من </w:t>
      </w:r>
      <w:r w:rsidR="00932CBC">
        <w:rPr>
          <w:rFonts w:ascii="DiwanMuna-Bold" w:eastAsiaTheme="minorEastAsia" w:hAnsi="Calibri" w:cs="DiwanMuna-Bold" w:hint="cs"/>
          <w:b/>
          <w:bCs/>
          <w:color w:val="000059"/>
          <w:sz w:val="30"/>
          <w:szCs w:val="30"/>
          <w:rtl/>
          <w:lang w:bidi="ar-YE"/>
        </w:rPr>
        <w:t>النظام</w:t>
      </w:r>
      <w:r w:rsidR="00522319" w:rsidRPr="001F5924">
        <w:rPr>
          <w:rFonts w:ascii="DiwanMuna-Bold" w:eastAsiaTheme="minorEastAsia" w:hAnsi="Calibri" w:cs="DiwanMuna-Bold"/>
          <w:b/>
          <w:bCs/>
          <w:color w:val="000059"/>
          <w:sz w:val="30"/>
          <w:szCs w:val="30"/>
          <w:rtl/>
          <w:lang w:bidi="ar-YE"/>
        </w:rPr>
        <w:t xml:space="preserve"> </w:t>
      </w:r>
      <w:r w:rsidRPr="001F5924">
        <w:rPr>
          <w:rFonts w:ascii="DiwanMuna-Bold" w:eastAsiaTheme="minorEastAsia" w:hAnsi="Calibri" w:cs="DiwanMuna-Bold" w:hint="cs"/>
          <w:b/>
          <w:bCs/>
          <w:color w:val="000059"/>
          <w:sz w:val="30"/>
          <w:szCs w:val="30"/>
          <w:rtl/>
          <w:lang w:bidi="ar-YE"/>
        </w:rPr>
        <w:t>وعدد الأسهم</w:t>
      </w:r>
      <w:r w:rsidRPr="001F5924">
        <w:rPr>
          <w:rFonts w:ascii="DiwanMuna-Bold" w:eastAsiaTheme="minorEastAsia" w:hAnsi="Calibri" w:cs="DiwanMuna-Bold"/>
          <w:b/>
          <w:bCs/>
          <w:color w:val="000059"/>
          <w:sz w:val="30"/>
          <w:szCs w:val="30"/>
          <w:rtl/>
          <w:lang w:bidi="ar-YE"/>
        </w:rPr>
        <w:t xml:space="preserve"> المخصصة لكل مستوى وظيفي.</w:t>
      </w:r>
    </w:p>
    <w:p w14:paraId="3665F90E" w14:textId="4F0F25CE" w:rsidR="00E0177C" w:rsidRDefault="00B377D2" w:rsidP="004E6DA0">
      <w:pPr>
        <w:numPr>
          <w:ilvl w:val="0"/>
          <w:numId w:val="14"/>
        </w:numPr>
        <w:bidi/>
        <w:spacing w:after="200" w:line="276" w:lineRule="auto"/>
        <w:ind w:left="630"/>
        <w:contextualSpacing/>
        <w:jc w:val="lowKashida"/>
        <w:rPr>
          <w:rFonts w:ascii="DiwanMuna-Bold" w:eastAsiaTheme="minorEastAsia" w:hAnsi="Calibri" w:cs="DiwanMuna-Bold"/>
          <w:b/>
          <w:bCs/>
          <w:color w:val="000059"/>
          <w:sz w:val="30"/>
          <w:szCs w:val="30"/>
          <w:lang w:bidi="ar-YE"/>
        </w:rPr>
      </w:pPr>
      <w:r w:rsidRPr="00932CBC">
        <w:rPr>
          <w:rFonts w:ascii="DiwanMuna-Bold" w:eastAsiaTheme="minorEastAsia" w:hAnsi="Calibri" w:cs="DiwanMuna-Bold" w:hint="cs"/>
          <w:b/>
          <w:bCs/>
          <w:color w:val="000059"/>
          <w:sz w:val="30"/>
          <w:szCs w:val="30"/>
          <w:rtl/>
          <w:lang w:bidi="ar-YE"/>
        </w:rPr>
        <w:t xml:space="preserve">الآلية </w:t>
      </w:r>
      <w:r w:rsidRPr="00932CBC">
        <w:rPr>
          <w:rFonts w:ascii="DiwanMuna-Bold" w:eastAsiaTheme="minorEastAsia" w:hAnsi="Calibri" w:cs="DiwanMuna-Bold" w:hint="eastAsia"/>
          <w:b/>
          <w:bCs/>
          <w:color w:val="000059"/>
          <w:sz w:val="30"/>
          <w:szCs w:val="30"/>
          <w:rtl/>
          <w:lang w:bidi="ar-YE"/>
        </w:rPr>
        <w:t>التي</w:t>
      </w:r>
      <w:r w:rsidR="000C49A6">
        <w:rPr>
          <w:rFonts w:ascii="DiwanMuna-Bold" w:eastAsiaTheme="minorEastAsia" w:hAnsi="Calibri" w:cs="DiwanMuna-Bold" w:hint="cs"/>
          <w:b/>
          <w:bCs/>
          <w:color w:val="000059"/>
          <w:sz w:val="30"/>
          <w:szCs w:val="30"/>
          <w:rtl/>
          <w:lang w:bidi="ar-YE"/>
        </w:rPr>
        <w:t xml:space="preserve"> </w:t>
      </w:r>
      <w:r w:rsidRPr="00932CBC">
        <w:rPr>
          <w:rFonts w:ascii="DiwanMuna-Bold" w:eastAsiaTheme="minorEastAsia" w:hAnsi="Calibri" w:cs="DiwanMuna-Bold" w:hint="cs"/>
          <w:b/>
          <w:bCs/>
          <w:color w:val="000059"/>
          <w:sz w:val="30"/>
          <w:szCs w:val="30"/>
          <w:rtl/>
          <w:lang w:bidi="ar-YE"/>
        </w:rPr>
        <w:t xml:space="preserve">تتبعها الشركة لضمان منع المستحقين من التصرف </w:t>
      </w:r>
      <w:r w:rsidRPr="00932CBC">
        <w:rPr>
          <w:rFonts w:ascii="DiwanMuna-Bold" w:eastAsiaTheme="minorEastAsia" w:hAnsi="Calibri" w:cs="DiwanMuna-Bold" w:hint="eastAsia"/>
          <w:b/>
          <w:bCs/>
          <w:color w:val="000059"/>
          <w:sz w:val="30"/>
          <w:szCs w:val="30"/>
          <w:rtl/>
          <w:lang w:bidi="ar-YE"/>
        </w:rPr>
        <w:t>في</w:t>
      </w:r>
      <w:r w:rsidRPr="00932CBC">
        <w:rPr>
          <w:rFonts w:ascii="DiwanMuna-Bold" w:eastAsiaTheme="minorEastAsia" w:hAnsi="Calibri" w:cs="DiwanMuna-Bold" w:hint="cs"/>
          <w:b/>
          <w:bCs/>
          <w:color w:val="000059"/>
          <w:sz w:val="30"/>
          <w:szCs w:val="30"/>
          <w:rtl/>
          <w:lang w:bidi="ar-YE"/>
        </w:rPr>
        <w:t xml:space="preserve"> </w:t>
      </w:r>
      <w:r w:rsidR="00816680">
        <w:rPr>
          <w:rFonts w:ascii="DiwanMuna-Bold" w:eastAsiaTheme="minorEastAsia" w:hAnsi="Calibri" w:cs="DiwanMuna-Bold" w:hint="cs"/>
          <w:b/>
          <w:bCs/>
          <w:color w:val="000059"/>
          <w:sz w:val="30"/>
          <w:szCs w:val="30"/>
          <w:rtl/>
          <w:lang w:bidi="ar-YE"/>
        </w:rPr>
        <w:t>ال</w:t>
      </w:r>
      <w:r w:rsidR="00932CBC" w:rsidRPr="00932CBC">
        <w:rPr>
          <w:rFonts w:ascii="DiwanMuna-Bold" w:eastAsiaTheme="minorEastAsia" w:hAnsi="Calibri" w:cs="DiwanMuna-Bold" w:hint="cs"/>
          <w:b/>
          <w:bCs/>
          <w:color w:val="000059"/>
          <w:sz w:val="30"/>
          <w:szCs w:val="30"/>
          <w:rtl/>
          <w:lang w:bidi="ar-YE"/>
        </w:rPr>
        <w:t>أسهم،</w:t>
      </w:r>
      <w:r w:rsidRPr="00932CBC">
        <w:rPr>
          <w:rFonts w:ascii="DiwanMuna-Bold" w:eastAsiaTheme="minorEastAsia" w:hAnsi="Calibri" w:cs="DiwanMuna-Bold" w:hint="cs"/>
          <w:b/>
          <w:bCs/>
          <w:color w:val="000059"/>
          <w:sz w:val="30"/>
          <w:szCs w:val="30"/>
          <w:rtl/>
          <w:lang w:bidi="ar-YE"/>
        </w:rPr>
        <w:t xml:space="preserve"> ويجوز أن يتم ذلك من خلال التأشير بسجل المساهمين لدى وكالة المقاصة وعلى إيصال إيداع الأسهم بما يفيد المنع من التصرف تنفيذ</w:t>
      </w:r>
      <w:r w:rsidR="0002075A">
        <w:rPr>
          <w:rFonts w:ascii="DiwanMuna-Bold" w:eastAsiaTheme="minorEastAsia" w:hAnsi="Calibri" w:cs="DiwanMuna-Bold" w:hint="cs"/>
          <w:b/>
          <w:bCs/>
          <w:color w:val="000059"/>
          <w:sz w:val="30"/>
          <w:szCs w:val="30"/>
          <w:rtl/>
          <w:lang w:bidi="ar-YE"/>
        </w:rPr>
        <w:t>اً</w:t>
      </w:r>
      <w:r w:rsidRPr="00932CBC">
        <w:rPr>
          <w:rFonts w:ascii="DiwanMuna-Bold" w:eastAsiaTheme="minorEastAsia" w:hAnsi="Calibri" w:cs="DiwanMuna-Bold" w:hint="cs"/>
          <w:b/>
          <w:bCs/>
          <w:color w:val="000059"/>
          <w:sz w:val="30"/>
          <w:szCs w:val="30"/>
          <w:rtl/>
          <w:lang w:bidi="ar-YE"/>
        </w:rPr>
        <w:t xml:space="preserve"> لنظام خيار شراء الأسهم </w:t>
      </w:r>
      <w:r w:rsidR="004E6DA0" w:rsidRPr="00932CBC">
        <w:rPr>
          <w:rFonts w:ascii="DiwanMuna-Bold" w:eastAsiaTheme="minorEastAsia" w:hAnsi="Calibri" w:cs="DiwanMuna-Bold" w:hint="cs"/>
          <w:b/>
          <w:bCs/>
          <w:color w:val="000059"/>
          <w:sz w:val="30"/>
          <w:szCs w:val="30"/>
          <w:rtl/>
          <w:lang w:bidi="ar-YE"/>
        </w:rPr>
        <w:t>ومد</w:t>
      </w:r>
      <w:r w:rsidR="004E6DA0">
        <w:rPr>
          <w:rFonts w:ascii="DiwanMuna-Bold" w:eastAsiaTheme="minorEastAsia" w:hAnsi="Calibri" w:cs="DiwanMuna-Bold" w:hint="cs"/>
          <w:b/>
          <w:bCs/>
          <w:color w:val="000059"/>
          <w:sz w:val="30"/>
          <w:szCs w:val="30"/>
          <w:rtl/>
          <w:lang w:bidi="ar-YE"/>
        </w:rPr>
        <w:t>ته</w:t>
      </w:r>
      <w:r w:rsidR="004E6DA0" w:rsidRPr="00932CBC">
        <w:rPr>
          <w:rFonts w:ascii="DiwanMuna-Bold" w:eastAsiaTheme="minorEastAsia" w:hAnsi="Calibri" w:cs="DiwanMuna-Bold" w:hint="cs"/>
          <w:b/>
          <w:bCs/>
          <w:color w:val="000059"/>
          <w:sz w:val="30"/>
          <w:szCs w:val="30"/>
          <w:rtl/>
          <w:lang w:bidi="ar-YE"/>
        </w:rPr>
        <w:t xml:space="preserve"> </w:t>
      </w:r>
      <w:r w:rsidRPr="00932CBC">
        <w:rPr>
          <w:rFonts w:ascii="DiwanMuna-Bold" w:eastAsiaTheme="minorEastAsia" w:hAnsi="Calibri" w:cs="DiwanMuna-Bold" w:hint="cs"/>
          <w:b/>
          <w:bCs/>
          <w:color w:val="000059"/>
          <w:sz w:val="30"/>
          <w:szCs w:val="30"/>
          <w:rtl/>
          <w:lang w:bidi="ar-YE"/>
        </w:rPr>
        <w:t xml:space="preserve">وشروط شطب التأشير </w:t>
      </w:r>
      <w:r w:rsidR="00932CBC" w:rsidRPr="00932CBC">
        <w:rPr>
          <w:rFonts w:ascii="DiwanMuna-Bold" w:eastAsiaTheme="minorEastAsia" w:hAnsi="Calibri" w:cs="DiwanMuna-Bold" w:hint="cs"/>
          <w:b/>
          <w:bCs/>
          <w:color w:val="000059"/>
          <w:sz w:val="30"/>
          <w:szCs w:val="30"/>
          <w:rtl/>
          <w:lang w:bidi="ar-YE"/>
        </w:rPr>
        <w:t>بالمنع،</w:t>
      </w:r>
      <w:r w:rsidR="00932CBC">
        <w:rPr>
          <w:rFonts w:ascii="DiwanMuna-Bold" w:eastAsiaTheme="minorEastAsia" w:hAnsi="Calibri" w:cs="DiwanMuna-Bold" w:hint="cs"/>
          <w:b/>
          <w:bCs/>
          <w:color w:val="000059"/>
          <w:sz w:val="30"/>
          <w:szCs w:val="30"/>
          <w:rtl/>
          <w:lang w:bidi="ar-YE"/>
        </w:rPr>
        <w:t xml:space="preserve"> وفي</w:t>
      </w:r>
      <w:r w:rsidRPr="00932CBC">
        <w:rPr>
          <w:rFonts w:ascii="DiwanMuna-Bold" w:eastAsiaTheme="minorEastAsia" w:hAnsi="Calibri" w:cs="DiwanMuna-Bold" w:hint="cs"/>
          <w:b/>
          <w:bCs/>
          <w:color w:val="000059"/>
          <w:sz w:val="30"/>
          <w:szCs w:val="30"/>
          <w:rtl/>
          <w:lang w:bidi="ar-YE"/>
        </w:rPr>
        <w:t xml:space="preserve"> هذه الحالة يجب أن يودع نسخة معتمدة من الممثل </w:t>
      </w:r>
      <w:r w:rsidRPr="00932CBC">
        <w:rPr>
          <w:rFonts w:ascii="DiwanMuna-Bold" w:eastAsiaTheme="minorEastAsia" w:hAnsi="Calibri" w:cs="DiwanMuna-Bold" w:hint="eastAsia"/>
          <w:b/>
          <w:bCs/>
          <w:color w:val="000059"/>
          <w:sz w:val="30"/>
          <w:szCs w:val="30"/>
          <w:rtl/>
          <w:lang w:bidi="ar-YE"/>
        </w:rPr>
        <w:t>القانوني</w:t>
      </w:r>
      <w:r w:rsidRPr="00932CBC">
        <w:rPr>
          <w:rFonts w:ascii="DiwanMuna-Bold" w:eastAsiaTheme="minorEastAsia" w:hAnsi="Calibri" w:cs="DiwanMuna-Bold" w:hint="cs"/>
          <w:b/>
          <w:bCs/>
          <w:color w:val="000059"/>
          <w:sz w:val="30"/>
          <w:szCs w:val="30"/>
          <w:rtl/>
          <w:lang w:bidi="ar-YE"/>
        </w:rPr>
        <w:t xml:space="preserve"> للشركة من </w:t>
      </w:r>
      <w:r w:rsidR="004E6DA0">
        <w:rPr>
          <w:rFonts w:ascii="DiwanMuna-Bold" w:eastAsiaTheme="minorEastAsia" w:hAnsi="Calibri" w:cs="DiwanMuna-Bold" w:hint="cs"/>
          <w:b/>
          <w:bCs/>
          <w:color w:val="000059"/>
          <w:sz w:val="30"/>
          <w:szCs w:val="30"/>
          <w:rtl/>
          <w:lang w:bidi="ar-YE"/>
        </w:rPr>
        <w:t>النظام</w:t>
      </w:r>
      <w:r w:rsidR="000A11EE" w:rsidRPr="00932CBC">
        <w:rPr>
          <w:rFonts w:ascii="DiwanMuna-Bold" w:eastAsiaTheme="minorEastAsia" w:hAnsi="Calibri" w:cs="DiwanMuna-Bold" w:hint="cs"/>
          <w:b/>
          <w:bCs/>
          <w:color w:val="000059"/>
          <w:sz w:val="30"/>
          <w:szCs w:val="30"/>
          <w:rtl/>
          <w:lang w:bidi="ar-YE"/>
        </w:rPr>
        <w:t xml:space="preserve">. </w:t>
      </w:r>
    </w:p>
    <w:p w14:paraId="01A78333" w14:textId="780970D9" w:rsidR="00932CBC" w:rsidRDefault="00932CBC" w:rsidP="00932CBC">
      <w:pPr>
        <w:numPr>
          <w:ilvl w:val="0"/>
          <w:numId w:val="14"/>
        </w:numPr>
        <w:bidi/>
        <w:spacing w:after="200" w:line="276" w:lineRule="auto"/>
        <w:ind w:left="630"/>
        <w:contextualSpacing/>
        <w:jc w:val="lowKashida"/>
        <w:rPr>
          <w:rFonts w:ascii="DiwanMuna-Bold" w:eastAsiaTheme="minorEastAsia" w:hAnsi="Calibri" w:cs="DiwanMuna-Bold"/>
          <w:b/>
          <w:bCs/>
          <w:color w:val="000059"/>
          <w:sz w:val="30"/>
          <w:szCs w:val="30"/>
          <w:lang w:bidi="ar-YE"/>
        </w:rPr>
      </w:pPr>
      <w:r w:rsidRPr="00932CBC">
        <w:rPr>
          <w:rFonts w:ascii="DiwanMuna-Bold" w:eastAsiaTheme="minorEastAsia" w:hAnsi="Calibri" w:cs="DiwanMuna-Bold" w:hint="cs"/>
          <w:b/>
          <w:bCs/>
          <w:color w:val="000059"/>
          <w:sz w:val="30"/>
          <w:szCs w:val="30"/>
          <w:rtl/>
          <w:lang w:bidi="ar-YE"/>
        </w:rPr>
        <w:t>مواعيد</w:t>
      </w:r>
      <w:r w:rsidRPr="00932CBC">
        <w:rPr>
          <w:rFonts w:ascii="DiwanMuna-Bold" w:eastAsiaTheme="minorEastAsia" w:hAnsi="Calibri" w:cs="DiwanMuna-Bold"/>
          <w:b/>
          <w:bCs/>
          <w:color w:val="000059"/>
          <w:sz w:val="30"/>
          <w:szCs w:val="30"/>
          <w:rtl/>
          <w:lang w:bidi="ar-YE"/>
        </w:rPr>
        <w:t xml:space="preserve"> تنفيذ البرنامج</w:t>
      </w:r>
      <w:r w:rsidRPr="00932CBC">
        <w:rPr>
          <w:rFonts w:ascii="DiwanMuna-Bold" w:eastAsiaTheme="minorEastAsia" w:hAnsi="Calibri" w:cs="DiwanMuna-Bold" w:hint="cs"/>
          <w:b/>
          <w:bCs/>
          <w:color w:val="000059"/>
          <w:sz w:val="30"/>
          <w:szCs w:val="30"/>
          <w:rtl/>
          <w:lang w:bidi="ar-YE"/>
        </w:rPr>
        <w:t xml:space="preserve"> بنقل ملكية الأسهم للموظفين ومواعيد رفع المنع من التصرف إن وجد</w:t>
      </w:r>
      <w:r>
        <w:rPr>
          <w:rFonts w:ascii="DiwanMuna-Bold" w:eastAsiaTheme="minorEastAsia" w:hAnsi="Calibri" w:cs="DiwanMuna-Bold" w:hint="cs"/>
          <w:b/>
          <w:bCs/>
          <w:color w:val="000059"/>
          <w:sz w:val="30"/>
          <w:szCs w:val="30"/>
          <w:rtl/>
          <w:lang w:bidi="ar-YE"/>
        </w:rPr>
        <w:t>.</w:t>
      </w:r>
    </w:p>
    <w:p w14:paraId="3C385455" w14:textId="24EFC80B" w:rsidR="00932CBC" w:rsidRPr="00744993" w:rsidRDefault="00932CBC" w:rsidP="00932CBC">
      <w:pPr>
        <w:bidi/>
        <w:spacing w:after="200" w:line="276" w:lineRule="auto"/>
        <w:contextualSpacing/>
        <w:jc w:val="both"/>
        <w:rPr>
          <w:rFonts w:ascii="Sakkal Majalla" w:hAnsi="Sakkal Majalla" w:cs="Sakkal Majalla"/>
          <w:sz w:val="16"/>
          <w:szCs w:val="16"/>
          <w:lang w:bidi="ar-KW"/>
        </w:rPr>
      </w:pPr>
    </w:p>
    <w:p w14:paraId="5DF9FAEF" w14:textId="77777777" w:rsidR="00344AB7" w:rsidRPr="00A81165" w:rsidRDefault="00344AB7" w:rsidP="00A81165">
      <w:pPr>
        <w:widowControl w:val="0"/>
        <w:autoSpaceDE w:val="0"/>
        <w:autoSpaceDN w:val="0"/>
        <w:bidi/>
        <w:adjustRightInd w:val="0"/>
        <w:spacing w:after="0" w:line="276" w:lineRule="auto"/>
        <w:jc w:val="both"/>
        <w:textAlignment w:val="center"/>
        <w:rPr>
          <w:rFonts w:ascii="DiwanMuna-Bold" w:eastAsiaTheme="minorEastAsia" w:hAnsi="Calibri" w:cs="DiwanMuna-Bold"/>
          <w:b/>
          <w:bCs/>
          <w:color w:val="000059"/>
          <w:sz w:val="30"/>
          <w:szCs w:val="30"/>
          <w:rtl/>
          <w:lang w:bidi="ar-YE"/>
        </w:rPr>
      </w:pPr>
      <w:r w:rsidRPr="00A81165">
        <w:rPr>
          <w:rFonts w:ascii="DiwanMuna-Bold" w:eastAsiaTheme="minorEastAsia" w:hAnsi="Calibri" w:cs="DiwanMuna-Bold" w:hint="cs"/>
          <w:b/>
          <w:bCs/>
          <w:color w:val="000059"/>
          <w:sz w:val="30"/>
          <w:szCs w:val="30"/>
          <w:rtl/>
          <w:lang w:bidi="ar-YE"/>
        </w:rPr>
        <w:t>ج- للهيئة رفض الموافقة على النظام بقرار مسبب في الأحوال التالية:</w:t>
      </w:r>
    </w:p>
    <w:p w14:paraId="5A1C7E03" w14:textId="132A203D" w:rsidR="00344AB7" w:rsidRPr="00A81165" w:rsidRDefault="00344AB7" w:rsidP="00FB6550">
      <w:pPr>
        <w:pStyle w:val="ListParagraph"/>
        <w:numPr>
          <w:ilvl w:val="0"/>
          <w:numId w:val="22"/>
        </w:numPr>
        <w:bidi/>
        <w:spacing w:after="200" w:line="276" w:lineRule="auto"/>
        <w:jc w:val="both"/>
        <w:rPr>
          <w:rFonts w:ascii="DiwanMuna-Bold" w:eastAsiaTheme="minorEastAsia" w:hAnsi="Calibri" w:cs="DiwanMuna-Bold"/>
          <w:b/>
          <w:bCs/>
          <w:color w:val="000059"/>
          <w:sz w:val="30"/>
          <w:szCs w:val="30"/>
          <w:lang w:bidi="ar-YE"/>
        </w:rPr>
      </w:pPr>
      <w:r w:rsidRPr="00A81165">
        <w:rPr>
          <w:rFonts w:ascii="DiwanMuna-Bold" w:eastAsiaTheme="minorEastAsia" w:hAnsi="Calibri" w:cs="DiwanMuna-Bold" w:hint="cs"/>
          <w:b/>
          <w:bCs/>
          <w:color w:val="000059"/>
          <w:sz w:val="30"/>
          <w:szCs w:val="30"/>
          <w:rtl/>
          <w:lang w:bidi="ar-YE"/>
        </w:rPr>
        <w:t xml:space="preserve"> عدم </w:t>
      </w:r>
      <w:r w:rsidR="004E6DA0">
        <w:rPr>
          <w:rFonts w:ascii="DiwanMuna-Bold" w:eastAsiaTheme="minorEastAsia" w:hAnsi="Calibri" w:cs="DiwanMuna-Bold" w:hint="cs"/>
          <w:b/>
          <w:bCs/>
          <w:color w:val="000059"/>
          <w:sz w:val="30"/>
          <w:szCs w:val="30"/>
          <w:rtl/>
          <w:lang w:bidi="ar-YE"/>
        </w:rPr>
        <w:t>استيفاء</w:t>
      </w:r>
      <w:r w:rsidR="004E6DA0" w:rsidRPr="00A81165">
        <w:rPr>
          <w:rFonts w:ascii="DiwanMuna-Bold" w:eastAsiaTheme="minorEastAsia" w:hAnsi="Calibri" w:cs="DiwanMuna-Bold" w:hint="cs"/>
          <w:b/>
          <w:bCs/>
          <w:color w:val="000059"/>
          <w:sz w:val="30"/>
          <w:szCs w:val="30"/>
          <w:rtl/>
          <w:lang w:bidi="ar-YE"/>
        </w:rPr>
        <w:t xml:space="preserve"> </w:t>
      </w:r>
      <w:r w:rsidRPr="00A81165">
        <w:rPr>
          <w:rFonts w:ascii="DiwanMuna-Bold" w:eastAsiaTheme="minorEastAsia" w:hAnsi="Calibri" w:cs="DiwanMuna-Bold" w:hint="cs"/>
          <w:b/>
          <w:bCs/>
          <w:color w:val="000059"/>
          <w:sz w:val="30"/>
          <w:szCs w:val="30"/>
          <w:rtl/>
          <w:lang w:bidi="ar-YE"/>
        </w:rPr>
        <w:t xml:space="preserve">أحد الشروط </w:t>
      </w:r>
      <w:r w:rsidR="004E6DA0">
        <w:rPr>
          <w:rFonts w:ascii="DiwanMuna-Bold" w:eastAsiaTheme="minorEastAsia" w:hAnsi="Calibri" w:cs="DiwanMuna-Bold" w:hint="cs"/>
          <w:b/>
          <w:bCs/>
          <w:color w:val="000059"/>
          <w:sz w:val="30"/>
          <w:szCs w:val="30"/>
          <w:rtl/>
          <w:lang w:bidi="ar-YE"/>
        </w:rPr>
        <w:t>-</w:t>
      </w:r>
      <w:r w:rsidRPr="00A81165">
        <w:rPr>
          <w:rFonts w:ascii="DiwanMuna-Bold" w:eastAsiaTheme="minorEastAsia" w:hAnsi="Calibri" w:cs="DiwanMuna-Bold" w:hint="cs"/>
          <w:b/>
          <w:bCs/>
          <w:color w:val="000059"/>
          <w:sz w:val="30"/>
          <w:szCs w:val="30"/>
          <w:rtl/>
          <w:lang w:bidi="ar-YE"/>
        </w:rPr>
        <w:t>المبينة بهذا الملحق</w:t>
      </w:r>
      <w:r w:rsidR="004E6DA0">
        <w:rPr>
          <w:rFonts w:ascii="DiwanMuna-Bold" w:eastAsiaTheme="minorEastAsia" w:hAnsi="Calibri" w:cs="DiwanMuna-Bold" w:hint="cs"/>
          <w:b/>
          <w:bCs/>
          <w:color w:val="000059"/>
          <w:sz w:val="30"/>
          <w:szCs w:val="30"/>
          <w:rtl/>
          <w:lang w:bidi="ar-YE"/>
        </w:rPr>
        <w:t>-</w:t>
      </w:r>
      <w:r w:rsidRPr="00A81165">
        <w:rPr>
          <w:rFonts w:ascii="DiwanMuna-Bold" w:eastAsiaTheme="minorEastAsia" w:hAnsi="Calibri" w:cs="DiwanMuna-Bold" w:hint="cs"/>
          <w:b/>
          <w:bCs/>
          <w:color w:val="000059"/>
          <w:sz w:val="30"/>
          <w:szCs w:val="30"/>
          <w:rtl/>
          <w:lang w:bidi="ar-YE"/>
        </w:rPr>
        <w:t xml:space="preserve"> في النظام.</w:t>
      </w:r>
    </w:p>
    <w:p w14:paraId="121B151B" w14:textId="351EE07C" w:rsidR="00174BFF" w:rsidRPr="00A81165" w:rsidRDefault="00344AB7" w:rsidP="00FB6550">
      <w:pPr>
        <w:pStyle w:val="ListParagraph"/>
        <w:numPr>
          <w:ilvl w:val="0"/>
          <w:numId w:val="22"/>
        </w:numPr>
        <w:bidi/>
        <w:spacing w:after="200" w:line="276" w:lineRule="auto"/>
        <w:jc w:val="both"/>
        <w:rPr>
          <w:rFonts w:ascii="DiwanMuna-Bold" w:eastAsiaTheme="minorEastAsia" w:hAnsi="Calibri" w:cs="DiwanMuna-Bold"/>
          <w:b/>
          <w:bCs/>
          <w:color w:val="000059"/>
          <w:sz w:val="30"/>
          <w:szCs w:val="30"/>
          <w:lang w:bidi="ar-YE"/>
        </w:rPr>
      </w:pPr>
      <w:r w:rsidRPr="00A81165">
        <w:rPr>
          <w:rFonts w:ascii="DiwanMuna-Bold" w:eastAsiaTheme="minorEastAsia" w:hAnsi="Calibri" w:cs="DiwanMuna-Bold" w:hint="cs"/>
          <w:b/>
          <w:bCs/>
          <w:color w:val="000059"/>
          <w:sz w:val="30"/>
          <w:szCs w:val="30"/>
          <w:rtl/>
          <w:lang w:bidi="ar-YE"/>
        </w:rPr>
        <w:t xml:space="preserve"> </w:t>
      </w:r>
      <w:r w:rsidR="00174BFF" w:rsidRPr="00A81165">
        <w:rPr>
          <w:rFonts w:ascii="DiwanMuna-Bold" w:eastAsiaTheme="minorEastAsia" w:hAnsi="Calibri" w:cs="DiwanMuna-Bold" w:hint="cs"/>
          <w:b/>
          <w:bCs/>
          <w:color w:val="000059"/>
          <w:sz w:val="30"/>
          <w:szCs w:val="30"/>
          <w:rtl/>
          <w:lang w:bidi="ar-YE"/>
        </w:rPr>
        <w:t xml:space="preserve">إذا كان منح خيار الشراء أو ممارسته أو تنفيذه </w:t>
      </w:r>
      <w:r w:rsidR="004E6DA0">
        <w:rPr>
          <w:rFonts w:ascii="DiwanMuna-Bold" w:eastAsiaTheme="minorEastAsia" w:hAnsi="Calibri" w:cs="DiwanMuna-Bold" w:hint="cs"/>
          <w:b/>
          <w:bCs/>
          <w:color w:val="000059"/>
          <w:sz w:val="30"/>
          <w:szCs w:val="30"/>
          <w:rtl/>
          <w:lang w:bidi="ar-YE"/>
        </w:rPr>
        <w:t>ي</w:t>
      </w:r>
      <w:r w:rsidR="004E6DA0" w:rsidRPr="00A81165">
        <w:rPr>
          <w:rFonts w:ascii="DiwanMuna-Bold" w:eastAsiaTheme="minorEastAsia" w:hAnsi="Calibri" w:cs="DiwanMuna-Bold" w:hint="cs"/>
          <w:b/>
          <w:bCs/>
          <w:color w:val="000059"/>
          <w:sz w:val="30"/>
          <w:szCs w:val="30"/>
          <w:rtl/>
          <w:lang w:bidi="ar-YE"/>
        </w:rPr>
        <w:t xml:space="preserve">فتقد </w:t>
      </w:r>
      <w:r w:rsidR="00174BFF" w:rsidRPr="00A81165">
        <w:rPr>
          <w:rFonts w:ascii="DiwanMuna-Bold" w:eastAsiaTheme="minorEastAsia" w:hAnsi="Calibri" w:cs="DiwanMuna-Bold" w:hint="cs"/>
          <w:b/>
          <w:bCs/>
          <w:color w:val="000059"/>
          <w:sz w:val="30"/>
          <w:szCs w:val="30"/>
          <w:rtl/>
          <w:lang w:bidi="ar-YE"/>
        </w:rPr>
        <w:t>إلى العدالة.</w:t>
      </w:r>
    </w:p>
    <w:p w14:paraId="34056262" w14:textId="6767A12D" w:rsidR="00174BFF" w:rsidRDefault="00174BFF" w:rsidP="00174BFF">
      <w:pPr>
        <w:pStyle w:val="ListParagraph"/>
        <w:numPr>
          <w:ilvl w:val="0"/>
          <w:numId w:val="22"/>
        </w:numPr>
        <w:bidi/>
        <w:spacing w:after="200" w:line="276" w:lineRule="auto"/>
        <w:jc w:val="both"/>
        <w:rPr>
          <w:rFonts w:ascii="DiwanMuna-Bold" w:eastAsiaTheme="minorEastAsia" w:hAnsi="Calibri" w:cs="DiwanMuna-Bold"/>
          <w:b/>
          <w:bCs/>
          <w:color w:val="000059"/>
          <w:sz w:val="30"/>
          <w:szCs w:val="30"/>
          <w:lang w:bidi="ar-YE"/>
        </w:rPr>
      </w:pPr>
      <w:r w:rsidRPr="00A81165">
        <w:rPr>
          <w:rFonts w:ascii="DiwanMuna-Bold" w:eastAsiaTheme="minorEastAsia" w:hAnsi="Calibri" w:cs="DiwanMuna-Bold" w:hint="cs"/>
          <w:b/>
          <w:bCs/>
          <w:color w:val="000059"/>
          <w:sz w:val="30"/>
          <w:szCs w:val="30"/>
          <w:rtl/>
          <w:lang w:bidi="ar-YE"/>
        </w:rPr>
        <w:t xml:space="preserve"> إذا</w:t>
      </w:r>
      <w:r w:rsidR="00344AB7" w:rsidRPr="00A81165">
        <w:rPr>
          <w:rFonts w:ascii="DiwanMuna-Bold" w:eastAsiaTheme="minorEastAsia" w:hAnsi="Calibri" w:cs="DiwanMuna-Bold" w:hint="cs"/>
          <w:b/>
          <w:bCs/>
          <w:color w:val="000059"/>
          <w:sz w:val="30"/>
          <w:szCs w:val="30"/>
          <w:rtl/>
          <w:lang w:bidi="ar-YE"/>
        </w:rPr>
        <w:t xml:space="preserve"> كانت شروط منح خيار الشراء </w:t>
      </w:r>
      <w:r w:rsidRPr="00A81165">
        <w:rPr>
          <w:rFonts w:ascii="DiwanMuna-Bold" w:eastAsiaTheme="minorEastAsia" w:hAnsi="Calibri" w:cs="DiwanMuna-Bold" w:hint="cs"/>
          <w:b/>
          <w:bCs/>
          <w:color w:val="000059"/>
          <w:sz w:val="30"/>
          <w:szCs w:val="30"/>
          <w:rtl/>
          <w:lang w:bidi="ar-YE"/>
        </w:rPr>
        <w:t>تكشف عن افتقاد النظام</w:t>
      </w:r>
      <w:r w:rsidR="00344AB7" w:rsidRPr="00A81165">
        <w:rPr>
          <w:rFonts w:ascii="DiwanMuna-Bold" w:eastAsiaTheme="minorEastAsia" w:hAnsi="Calibri" w:cs="DiwanMuna-Bold" w:hint="cs"/>
          <w:b/>
          <w:bCs/>
          <w:color w:val="000059"/>
          <w:sz w:val="30"/>
          <w:szCs w:val="30"/>
          <w:rtl/>
          <w:lang w:bidi="ar-YE"/>
        </w:rPr>
        <w:t xml:space="preserve"> إلى الهدف من استحداث نظام خيار شراء الأسهم </w:t>
      </w:r>
      <w:r w:rsidRPr="00A81165">
        <w:rPr>
          <w:rFonts w:ascii="DiwanMuna-Bold" w:eastAsiaTheme="minorEastAsia" w:hAnsi="Calibri" w:cs="DiwanMuna-Bold" w:hint="cs"/>
          <w:b/>
          <w:bCs/>
          <w:color w:val="000059"/>
          <w:sz w:val="30"/>
          <w:szCs w:val="30"/>
          <w:rtl/>
          <w:lang w:bidi="ar-YE"/>
        </w:rPr>
        <w:t>وفقا لما هو مبين</w:t>
      </w:r>
      <w:r w:rsidR="00344AB7" w:rsidRPr="00A81165">
        <w:rPr>
          <w:rFonts w:ascii="DiwanMuna-Bold" w:eastAsiaTheme="minorEastAsia" w:hAnsi="Calibri" w:cs="DiwanMuna-Bold" w:hint="cs"/>
          <w:b/>
          <w:bCs/>
          <w:color w:val="000059"/>
          <w:sz w:val="30"/>
          <w:szCs w:val="30"/>
          <w:rtl/>
          <w:lang w:bidi="ar-YE"/>
        </w:rPr>
        <w:t xml:space="preserve"> بهذا الملحق.</w:t>
      </w:r>
    </w:p>
    <w:p w14:paraId="0D9F1A23" w14:textId="0943C7B8" w:rsidR="00A05A27" w:rsidRDefault="00A05A27" w:rsidP="00A05A27">
      <w:pPr>
        <w:pStyle w:val="ListParagraph"/>
        <w:bidi/>
        <w:spacing w:after="200" w:line="276" w:lineRule="auto"/>
        <w:jc w:val="both"/>
        <w:rPr>
          <w:rFonts w:ascii="DiwanMuna-Bold" w:eastAsiaTheme="minorEastAsia" w:hAnsi="Calibri" w:cs="DiwanMuna-Bold"/>
          <w:b/>
          <w:bCs/>
          <w:color w:val="000059"/>
          <w:sz w:val="30"/>
          <w:szCs w:val="30"/>
          <w:rtl/>
          <w:lang w:bidi="ar-YE"/>
        </w:rPr>
      </w:pPr>
    </w:p>
    <w:p w14:paraId="08519B37" w14:textId="5B4A9F11" w:rsidR="00A05A27" w:rsidRDefault="00A05A27" w:rsidP="00A05A27">
      <w:pPr>
        <w:pStyle w:val="ListParagraph"/>
        <w:bidi/>
        <w:spacing w:after="200" w:line="276" w:lineRule="auto"/>
        <w:jc w:val="both"/>
        <w:rPr>
          <w:rFonts w:ascii="DiwanMuna-Bold" w:eastAsiaTheme="minorEastAsia" w:hAnsi="Calibri" w:cs="DiwanMuna-Bold"/>
          <w:b/>
          <w:bCs/>
          <w:color w:val="000059"/>
          <w:sz w:val="30"/>
          <w:szCs w:val="30"/>
          <w:lang w:bidi="ar-YE"/>
        </w:rPr>
      </w:pPr>
    </w:p>
    <w:p w14:paraId="58C535D4" w14:textId="71F79943" w:rsidR="00736D37" w:rsidRDefault="00736D37" w:rsidP="00736D37">
      <w:pPr>
        <w:pStyle w:val="ListParagraph"/>
        <w:bidi/>
        <w:spacing w:after="200" w:line="276" w:lineRule="auto"/>
        <w:jc w:val="both"/>
        <w:rPr>
          <w:rFonts w:ascii="DiwanMuna-Bold" w:eastAsiaTheme="minorEastAsia" w:hAnsi="Calibri" w:cs="DiwanMuna-Bold"/>
          <w:b/>
          <w:bCs/>
          <w:color w:val="000059"/>
          <w:sz w:val="30"/>
          <w:szCs w:val="30"/>
          <w:lang w:bidi="ar-YE"/>
        </w:rPr>
      </w:pPr>
    </w:p>
    <w:p w14:paraId="42BF864B" w14:textId="77777777" w:rsidR="00736D37" w:rsidRPr="00A81165" w:rsidRDefault="00736D37" w:rsidP="00736D37">
      <w:pPr>
        <w:pStyle w:val="ListParagraph"/>
        <w:bidi/>
        <w:spacing w:after="200" w:line="276" w:lineRule="auto"/>
        <w:jc w:val="both"/>
        <w:rPr>
          <w:rFonts w:ascii="DiwanMuna-Bold" w:eastAsiaTheme="minorEastAsia" w:hAnsi="Calibri" w:cs="DiwanMuna-Bold"/>
          <w:b/>
          <w:bCs/>
          <w:color w:val="000059"/>
          <w:sz w:val="30"/>
          <w:szCs w:val="30"/>
          <w:lang w:bidi="ar-YE"/>
        </w:rPr>
      </w:pPr>
    </w:p>
    <w:p w14:paraId="794DA020" w14:textId="3D7AEF71" w:rsidR="00E0177C" w:rsidRPr="001F5924" w:rsidRDefault="004E6DA0" w:rsidP="004E6DA0">
      <w:pPr>
        <w:widowControl w:val="0"/>
        <w:autoSpaceDE w:val="0"/>
        <w:autoSpaceDN w:val="0"/>
        <w:bidi/>
        <w:adjustRightInd w:val="0"/>
        <w:spacing w:after="0" w:line="276" w:lineRule="auto"/>
        <w:jc w:val="both"/>
        <w:textAlignment w:val="center"/>
        <w:rPr>
          <w:rFonts w:ascii="DiwanMuna-Bold" w:eastAsiaTheme="minorEastAsia" w:cs="DiwanMuna-Bold"/>
          <w:b/>
          <w:bCs/>
          <w:color w:val="B5A500"/>
          <w:sz w:val="34"/>
          <w:szCs w:val="34"/>
          <w:u w:val="single"/>
          <w:rtl/>
          <w:lang w:bidi="ar-YE"/>
        </w:rPr>
      </w:pPr>
      <w:r>
        <w:rPr>
          <w:rFonts w:ascii="DiwanMuna-Bold" w:eastAsiaTheme="minorEastAsia" w:cs="DiwanMuna-Bold" w:hint="cs"/>
          <w:b/>
          <w:bCs/>
          <w:color w:val="B5A500"/>
          <w:sz w:val="34"/>
          <w:szCs w:val="34"/>
          <w:u w:val="single"/>
          <w:rtl/>
          <w:lang w:bidi="ar-YE"/>
        </w:rPr>
        <w:t>ال</w:t>
      </w:r>
      <w:r w:rsidR="00D74D28" w:rsidRPr="001F5924">
        <w:rPr>
          <w:rFonts w:ascii="DiwanMuna-Bold" w:eastAsiaTheme="minorEastAsia" w:cs="DiwanMuna-Bold" w:hint="cs"/>
          <w:b/>
          <w:bCs/>
          <w:color w:val="B5A500"/>
          <w:sz w:val="34"/>
          <w:szCs w:val="34"/>
          <w:u w:val="single"/>
          <w:rtl/>
          <w:lang w:bidi="ar-YE"/>
        </w:rPr>
        <w:t>إجراءات و</w:t>
      </w:r>
      <w:r>
        <w:rPr>
          <w:rFonts w:ascii="DiwanMuna-Bold" w:eastAsiaTheme="minorEastAsia" w:cs="DiwanMuna-Bold" w:hint="cs"/>
          <w:b/>
          <w:bCs/>
          <w:color w:val="B5A500"/>
          <w:sz w:val="34"/>
          <w:szCs w:val="34"/>
          <w:u w:val="single"/>
          <w:rtl/>
          <w:lang w:bidi="ar-YE"/>
        </w:rPr>
        <w:t>ال</w:t>
      </w:r>
      <w:r w:rsidR="00E0177C" w:rsidRPr="001F5924">
        <w:rPr>
          <w:rFonts w:ascii="DiwanMuna-Bold" w:eastAsiaTheme="minorEastAsia" w:cs="DiwanMuna-Bold" w:hint="cs"/>
          <w:b/>
          <w:bCs/>
          <w:color w:val="B5A500"/>
          <w:sz w:val="34"/>
          <w:szCs w:val="34"/>
          <w:u w:val="single"/>
          <w:rtl/>
          <w:lang w:bidi="ar-YE"/>
        </w:rPr>
        <w:t xml:space="preserve">ضوابط </w:t>
      </w:r>
      <w:r>
        <w:rPr>
          <w:rFonts w:ascii="DiwanMuna-Bold" w:eastAsiaTheme="minorEastAsia" w:cs="DiwanMuna-Bold" w:hint="cs"/>
          <w:b/>
          <w:bCs/>
          <w:color w:val="B5A500"/>
          <w:sz w:val="34"/>
          <w:szCs w:val="34"/>
          <w:u w:val="single"/>
          <w:rtl/>
          <w:lang w:bidi="ar-YE"/>
        </w:rPr>
        <w:t>ال</w:t>
      </w:r>
      <w:r w:rsidR="00E0177C" w:rsidRPr="001F5924">
        <w:rPr>
          <w:rFonts w:ascii="DiwanMuna-Bold" w:eastAsiaTheme="minorEastAsia" w:cs="DiwanMuna-Bold" w:hint="cs"/>
          <w:b/>
          <w:bCs/>
          <w:color w:val="B5A500"/>
          <w:sz w:val="34"/>
          <w:szCs w:val="34"/>
          <w:u w:val="single"/>
          <w:rtl/>
          <w:lang w:bidi="ar-YE"/>
        </w:rPr>
        <w:t xml:space="preserve">خاصة </w:t>
      </w:r>
      <w:r>
        <w:rPr>
          <w:rFonts w:ascii="DiwanMuna-Bold" w:eastAsiaTheme="minorEastAsia" w:cs="DiwanMuna-Bold" w:hint="cs"/>
          <w:b/>
          <w:bCs/>
          <w:color w:val="B5A500"/>
          <w:sz w:val="34"/>
          <w:szCs w:val="34"/>
          <w:u w:val="single"/>
          <w:rtl/>
          <w:lang w:bidi="ar-YE"/>
        </w:rPr>
        <w:t>بنظام</w:t>
      </w:r>
      <w:r w:rsidRPr="001F5924">
        <w:rPr>
          <w:rFonts w:ascii="DiwanMuna-Bold" w:eastAsiaTheme="minorEastAsia" w:cs="DiwanMuna-Bold" w:hint="cs"/>
          <w:b/>
          <w:bCs/>
          <w:color w:val="B5A500"/>
          <w:sz w:val="34"/>
          <w:szCs w:val="34"/>
          <w:u w:val="single"/>
          <w:rtl/>
          <w:lang w:bidi="ar-YE"/>
        </w:rPr>
        <w:t xml:space="preserve"> </w:t>
      </w:r>
      <w:r w:rsidR="00E0177C" w:rsidRPr="001F5924">
        <w:rPr>
          <w:rFonts w:ascii="DiwanMuna-Bold" w:eastAsiaTheme="minorEastAsia" w:cs="DiwanMuna-Bold" w:hint="cs"/>
          <w:b/>
          <w:bCs/>
          <w:color w:val="B5A500"/>
          <w:sz w:val="34"/>
          <w:szCs w:val="34"/>
          <w:u w:val="single"/>
          <w:rtl/>
          <w:lang w:bidi="ar-YE"/>
        </w:rPr>
        <w:t xml:space="preserve">خيار شراء </w:t>
      </w:r>
      <w:r w:rsidR="003613A3" w:rsidRPr="001F5924">
        <w:rPr>
          <w:rFonts w:ascii="DiwanMuna-Bold" w:eastAsiaTheme="minorEastAsia" w:cs="DiwanMuna-Bold" w:hint="cs"/>
          <w:b/>
          <w:bCs/>
          <w:color w:val="B5A500"/>
          <w:sz w:val="34"/>
          <w:szCs w:val="34"/>
          <w:u w:val="single"/>
          <w:rtl/>
          <w:lang w:bidi="ar-YE"/>
        </w:rPr>
        <w:t>ال</w:t>
      </w:r>
      <w:r w:rsidR="00E0177C" w:rsidRPr="001F5924">
        <w:rPr>
          <w:rFonts w:ascii="DiwanMuna-Bold" w:eastAsiaTheme="minorEastAsia" w:cs="DiwanMuna-Bold" w:hint="cs"/>
          <w:b/>
          <w:bCs/>
          <w:color w:val="B5A500"/>
          <w:sz w:val="34"/>
          <w:szCs w:val="34"/>
          <w:u w:val="single"/>
          <w:rtl/>
          <w:lang w:bidi="ar-YE"/>
        </w:rPr>
        <w:t xml:space="preserve">أسهم </w:t>
      </w:r>
      <w:r w:rsidR="003613A3" w:rsidRPr="001F5924">
        <w:rPr>
          <w:rFonts w:ascii="DiwanMuna-Bold" w:eastAsiaTheme="minorEastAsia" w:cs="DiwanMuna-Bold" w:hint="cs"/>
          <w:b/>
          <w:bCs/>
          <w:color w:val="B5A500"/>
          <w:sz w:val="34"/>
          <w:szCs w:val="34"/>
          <w:u w:val="single"/>
          <w:rtl/>
          <w:lang w:bidi="ar-YE"/>
        </w:rPr>
        <w:t>ل</w:t>
      </w:r>
      <w:r w:rsidR="00E0177C" w:rsidRPr="001F5924">
        <w:rPr>
          <w:rFonts w:ascii="DiwanMuna-Bold" w:eastAsiaTheme="minorEastAsia" w:cs="DiwanMuna-Bold" w:hint="cs"/>
          <w:b/>
          <w:bCs/>
          <w:color w:val="B5A500"/>
          <w:sz w:val="34"/>
          <w:szCs w:val="34"/>
          <w:u w:val="single"/>
          <w:rtl/>
          <w:lang w:bidi="ar-YE"/>
        </w:rPr>
        <w:t>لموظفين من خلال زيادة رأس المال:</w:t>
      </w:r>
    </w:p>
    <w:p w14:paraId="3204EAB4" w14:textId="14CA6A8F" w:rsidR="00E0177C" w:rsidRPr="001F5924" w:rsidRDefault="00E0177C" w:rsidP="00B26F60">
      <w:pPr>
        <w:pStyle w:val="ListParagraph"/>
        <w:numPr>
          <w:ilvl w:val="0"/>
          <w:numId w:val="5"/>
        </w:numPr>
        <w:bidi/>
        <w:spacing w:after="200" w:line="276" w:lineRule="auto"/>
        <w:ind w:left="540"/>
        <w:jc w:val="both"/>
        <w:rPr>
          <w:rFonts w:ascii="DiwanMuna-Bold" w:eastAsiaTheme="minorEastAsia" w:hAnsi="Calibri" w:cs="DiwanMuna-Bold"/>
          <w:b/>
          <w:bCs/>
          <w:color w:val="000059"/>
          <w:sz w:val="30"/>
          <w:szCs w:val="30"/>
          <w:rtl/>
          <w:lang w:bidi="ar-YE"/>
        </w:rPr>
      </w:pPr>
      <w:r w:rsidRPr="001F5924">
        <w:rPr>
          <w:rFonts w:ascii="DiwanMuna-Bold" w:eastAsiaTheme="minorEastAsia" w:hAnsi="Calibri" w:cs="DiwanMuna-Bold" w:hint="cs"/>
          <w:b/>
          <w:bCs/>
          <w:color w:val="000059"/>
          <w:sz w:val="30"/>
          <w:szCs w:val="30"/>
          <w:rtl/>
          <w:lang w:bidi="ar-YE"/>
        </w:rPr>
        <w:t xml:space="preserve">يجب على الشركة الراغبة </w:t>
      </w:r>
      <w:r w:rsidR="00A81165" w:rsidRPr="001F5924">
        <w:rPr>
          <w:rFonts w:ascii="DiwanMuna-Bold" w:eastAsiaTheme="minorEastAsia" w:hAnsi="Calibri" w:cs="DiwanMuna-Bold" w:hint="cs"/>
          <w:b/>
          <w:bCs/>
          <w:color w:val="000059"/>
          <w:sz w:val="30"/>
          <w:szCs w:val="30"/>
          <w:rtl/>
          <w:lang w:bidi="ar-YE"/>
        </w:rPr>
        <w:t xml:space="preserve">باستحداث </w:t>
      </w:r>
      <w:r w:rsidR="00A81165">
        <w:rPr>
          <w:rFonts w:ascii="DiwanMuna-Bold" w:eastAsiaTheme="minorEastAsia" w:hAnsi="Calibri" w:cs="DiwanMuna-Bold" w:hint="cs"/>
          <w:b/>
          <w:bCs/>
          <w:color w:val="000059"/>
          <w:sz w:val="30"/>
          <w:szCs w:val="30"/>
          <w:rtl/>
          <w:lang w:bidi="ar-YE"/>
        </w:rPr>
        <w:t>نظام</w:t>
      </w:r>
      <w:r w:rsidR="00B26F60" w:rsidRPr="001F5924">
        <w:rPr>
          <w:rFonts w:ascii="DiwanMuna-Bold" w:eastAsiaTheme="minorEastAsia" w:hAnsi="Calibri" w:cs="DiwanMuna-Bold" w:hint="cs"/>
          <w:b/>
          <w:bCs/>
          <w:color w:val="000059"/>
          <w:sz w:val="30"/>
          <w:szCs w:val="30"/>
          <w:rtl/>
          <w:lang w:bidi="ar-YE"/>
        </w:rPr>
        <w:t xml:space="preserve"> </w:t>
      </w:r>
      <w:r w:rsidRPr="001F5924">
        <w:rPr>
          <w:rFonts w:ascii="DiwanMuna-Bold" w:eastAsiaTheme="minorEastAsia" w:hAnsi="Calibri" w:cs="DiwanMuna-Bold" w:hint="cs"/>
          <w:b/>
          <w:bCs/>
          <w:color w:val="000059"/>
          <w:sz w:val="30"/>
          <w:szCs w:val="30"/>
          <w:rtl/>
          <w:lang w:bidi="ar-YE"/>
        </w:rPr>
        <w:t xml:space="preserve">خيار شراء </w:t>
      </w:r>
      <w:r w:rsidR="003613A3" w:rsidRPr="001F5924">
        <w:rPr>
          <w:rFonts w:ascii="DiwanMuna-Bold" w:eastAsiaTheme="minorEastAsia" w:hAnsi="Calibri" w:cs="DiwanMuna-Bold" w:hint="cs"/>
          <w:b/>
          <w:bCs/>
          <w:color w:val="000059"/>
          <w:sz w:val="30"/>
          <w:szCs w:val="30"/>
          <w:rtl/>
          <w:lang w:bidi="ar-YE"/>
        </w:rPr>
        <w:t>ال</w:t>
      </w:r>
      <w:r w:rsidRPr="001F5924">
        <w:rPr>
          <w:rFonts w:ascii="DiwanMuna-Bold" w:eastAsiaTheme="minorEastAsia" w:hAnsi="Calibri" w:cs="DiwanMuna-Bold" w:hint="cs"/>
          <w:b/>
          <w:bCs/>
          <w:color w:val="000059"/>
          <w:sz w:val="30"/>
          <w:szCs w:val="30"/>
          <w:rtl/>
          <w:lang w:bidi="ar-YE"/>
        </w:rPr>
        <w:t xml:space="preserve">أسهم </w:t>
      </w:r>
      <w:r w:rsidR="003613A3" w:rsidRPr="001F5924">
        <w:rPr>
          <w:rFonts w:ascii="DiwanMuna-Bold" w:eastAsiaTheme="minorEastAsia" w:hAnsi="Calibri" w:cs="DiwanMuna-Bold" w:hint="cs"/>
          <w:b/>
          <w:bCs/>
          <w:color w:val="000059"/>
          <w:sz w:val="30"/>
          <w:szCs w:val="30"/>
          <w:rtl/>
          <w:lang w:bidi="ar-YE"/>
        </w:rPr>
        <w:t>ل</w:t>
      </w:r>
      <w:r w:rsidRPr="001F5924">
        <w:rPr>
          <w:rFonts w:ascii="DiwanMuna-Bold" w:eastAsiaTheme="minorEastAsia" w:hAnsi="Calibri" w:cs="DiwanMuna-Bold" w:hint="cs"/>
          <w:b/>
          <w:bCs/>
          <w:color w:val="000059"/>
          <w:sz w:val="30"/>
          <w:szCs w:val="30"/>
          <w:rtl/>
          <w:lang w:bidi="ar-YE"/>
        </w:rPr>
        <w:t>لموظفين عن طريق زيادة رأس المال القيام بالتالي:</w:t>
      </w:r>
    </w:p>
    <w:p w14:paraId="01ACD7A2" w14:textId="5830A962" w:rsidR="00E0177C" w:rsidRPr="001F5924" w:rsidRDefault="00E0177C" w:rsidP="00B26F60">
      <w:pPr>
        <w:pStyle w:val="ListParagraph"/>
        <w:numPr>
          <w:ilvl w:val="0"/>
          <w:numId w:val="17"/>
        </w:numPr>
        <w:bidi/>
        <w:spacing w:after="200" w:line="240" w:lineRule="auto"/>
        <w:jc w:val="both"/>
        <w:rPr>
          <w:rFonts w:ascii="DiwanMuna-Bold" w:eastAsiaTheme="minorEastAsia" w:hAnsi="Calibri" w:cs="DiwanMuna-Bold"/>
          <w:b/>
          <w:bCs/>
          <w:color w:val="000059"/>
          <w:sz w:val="30"/>
          <w:szCs w:val="30"/>
          <w:lang w:bidi="ar-YE"/>
        </w:rPr>
      </w:pPr>
      <w:r w:rsidRPr="001F5924">
        <w:rPr>
          <w:rFonts w:ascii="DiwanMuna-Bold" w:eastAsiaTheme="minorEastAsia" w:hAnsi="Calibri" w:cs="DiwanMuna-Bold" w:hint="cs"/>
          <w:b/>
          <w:bCs/>
          <w:color w:val="000059"/>
          <w:sz w:val="30"/>
          <w:szCs w:val="30"/>
          <w:rtl/>
          <w:lang w:bidi="ar-YE"/>
        </w:rPr>
        <w:lastRenderedPageBreak/>
        <w:t xml:space="preserve">يصدر مجلس إدارة الشركة توصية </w:t>
      </w:r>
      <w:r w:rsidR="00A81165" w:rsidRPr="001F5924">
        <w:rPr>
          <w:rFonts w:ascii="DiwanMuna-Bold" w:eastAsiaTheme="minorEastAsia" w:hAnsi="Calibri" w:cs="DiwanMuna-Bold" w:hint="cs"/>
          <w:b/>
          <w:bCs/>
          <w:color w:val="000059"/>
          <w:sz w:val="30"/>
          <w:szCs w:val="30"/>
          <w:rtl/>
          <w:lang w:bidi="ar-YE"/>
        </w:rPr>
        <w:t xml:space="preserve">باستحداث </w:t>
      </w:r>
      <w:r w:rsidR="00A81165">
        <w:rPr>
          <w:rFonts w:ascii="DiwanMuna-Bold" w:eastAsiaTheme="minorEastAsia" w:hAnsi="Calibri" w:cs="DiwanMuna-Bold" w:hint="cs"/>
          <w:b/>
          <w:bCs/>
          <w:color w:val="000059"/>
          <w:sz w:val="30"/>
          <w:szCs w:val="30"/>
          <w:rtl/>
          <w:lang w:bidi="ar-YE"/>
        </w:rPr>
        <w:t>نظام</w:t>
      </w:r>
      <w:r w:rsidR="00B26F60" w:rsidRPr="001F5924">
        <w:rPr>
          <w:rFonts w:ascii="DiwanMuna-Bold" w:eastAsiaTheme="minorEastAsia" w:hAnsi="Calibri" w:cs="DiwanMuna-Bold" w:hint="cs"/>
          <w:b/>
          <w:bCs/>
          <w:color w:val="000059"/>
          <w:sz w:val="30"/>
          <w:szCs w:val="30"/>
          <w:rtl/>
          <w:lang w:bidi="ar-YE"/>
        </w:rPr>
        <w:t xml:space="preserve"> </w:t>
      </w:r>
      <w:r w:rsidRPr="001F5924">
        <w:rPr>
          <w:rFonts w:ascii="DiwanMuna-Bold" w:eastAsiaTheme="minorEastAsia" w:hAnsi="Calibri" w:cs="DiwanMuna-Bold" w:hint="cs"/>
          <w:b/>
          <w:bCs/>
          <w:color w:val="000059"/>
          <w:sz w:val="30"/>
          <w:szCs w:val="30"/>
          <w:rtl/>
          <w:lang w:bidi="ar-YE"/>
        </w:rPr>
        <w:t xml:space="preserve">خيار شراء </w:t>
      </w:r>
      <w:r w:rsidR="003613A3" w:rsidRPr="001F5924">
        <w:rPr>
          <w:rFonts w:ascii="DiwanMuna-Bold" w:eastAsiaTheme="minorEastAsia" w:hAnsi="Calibri" w:cs="DiwanMuna-Bold" w:hint="cs"/>
          <w:b/>
          <w:bCs/>
          <w:color w:val="000059"/>
          <w:sz w:val="30"/>
          <w:szCs w:val="30"/>
          <w:rtl/>
          <w:lang w:bidi="ar-YE"/>
        </w:rPr>
        <w:t>ال</w:t>
      </w:r>
      <w:r w:rsidRPr="001F5924">
        <w:rPr>
          <w:rFonts w:ascii="DiwanMuna-Bold" w:eastAsiaTheme="minorEastAsia" w:hAnsi="Calibri" w:cs="DiwanMuna-Bold" w:hint="cs"/>
          <w:b/>
          <w:bCs/>
          <w:color w:val="000059"/>
          <w:sz w:val="30"/>
          <w:szCs w:val="30"/>
          <w:rtl/>
          <w:lang w:bidi="ar-YE"/>
        </w:rPr>
        <w:t xml:space="preserve">أسهم </w:t>
      </w:r>
      <w:r w:rsidR="003613A3" w:rsidRPr="001F5924">
        <w:rPr>
          <w:rFonts w:ascii="DiwanMuna-Bold" w:eastAsiaTheme="minorEastAsia" w:hAnsi="Calibri" w:cs="DiwanMuna-Bold" w:hint="cs"/>
          <w:b/>
          <w:bCs/>
          <w:color w:val="000059"/>
          <w:sz w:val="30"/>
          <w:szCs w:val="30"/>
          <w:rtl/>
          <w:lang w:bidi="ar-YE"/>
        </w:rPr>
        <w:t>ل</w:t>
      </w:r>
      <w:r w:rsidRPr="001F5924">
        <w:rPr>
          <w:rFonts w:ascii="DiwanMuna-Bold" w:eastAsiaTheme="minorEastAsia" w:hAnsi="Calibri" w:cs="DiwanMuna-Bold" w:hint="cs"/>
          <w:b/>
          <w:bCs/>
          <w:color w:val="000059"/>
          <w:sz w:val="30"/>
          <w:szCs w:val="30"/>
          <w:rtl/>
          <w:lang w:bidi="ar-YE"/>
        </w:rPr>
        <w:t xml:space="preserve">لموظفين </w:t>
      </w:r>
      <w:r w:rsidR="00B26F60">
        <w:rPr>
          <w:rFonts w:ascii="DiwanMuna-Bold" w:eastAsiaTheme="minorEastAsia" w:hAnsi="Calibri" w:cs="DiwanMuna-Bold" w:hint="cs"/>
          <w:b/>
          <w:bCs/>
          <w:color w:val="000059"/>
          <w:sz w:val="30"/>
          <w:szCs w:val="30"/>
          <w:rtl/>
          <w:lang w:bidi="ar-YE"/>
        </w:rPr>
        <w:t xml:space="preserve">وتوفير الأسهم اللازمة لتنفيذ النظام </w:t>
      </w:r>
      <w:r w:rsidRPr="001F5924">
        <w:rPr>
          <w:rFonts w:ascii="DiwanMuna-Bold" w:eastAsiaTheme="minorEastAsia" w:hAnsi="Calibri" w:cs="DiwanMuna-Bold" w:hint="cs"/>
          <w:b/>
          <w:bCs/>
          <w:color w:val="000059"/>
          <w:sz w:val="30"/>
          <w:szCs w:val="30"/>
          <w:rtl/>
          <w:lang w:bidi="ar-YE"/>
        </w:rPr>
        <w:t>عن طريق زيادة رأس المال</w:t>
      </w:r>
      <w:r w:rsidR="0026464B" w:rsidRPr="001F5924">
        <w:rPr>
          <w:rFonts w:ascii="DiwanMuna-Bold" w:eastAsiaTheme="minorEastAsia" w:hAnsi="Calibri" w:cs="DiwanMuna-Bold" w:hint="cs"/>
          <w:b/>
          <w:bCs/>
          <w:color w:val="000059"/>
          <w:sz w:val="30"/>
          <w:szCs w:val="30"/>
          <w:rtl/>
          <w:lang w:bidi="ar-YE"/>
        </w:rPr>
        <w:t xml:space="preserve">، ولا يجوز للأعضاء التنفيذيين المشاركة في التصويت على ذلك. </w:t>
      </w:r>
    </w:p>
    <w:p w14:paraId="5ED905F7" w14:textId="2F3268B3" w:rsidR="00E0177C" w:rsidRPr="001F5924" w:rsidRDefault="00E0177C" w:rsidP="001F5924">
      <w:pPr>
        <w:pStyle w:val="ListParagraph"/>
        <w:numPr>
          <w:ilvl w:val="0"/>
          <w:numId w:val="17"/>
        </w:numPr>
        <w:bidi/>
        <w:spacing w:after="200" w:line="240" w:lineRule="auto"/>
        <w:jc w:val="both"/>
        <w:rPr>
          <w:rFonts w:ascii="DiwanMuna-Bold" w:eastAsiaTheme="minorEastAsia" w:hAnsi="Calibri" w:cs="DiwanMuna-Bold"/>
          <w:b/>
          <w:bCs/>
          <w:color w:val="000059"/>
          <w:sz w:val="30"/>
          <w:szCs w:val="30"/>
          <w:lang w:bidi="ar-YE"/>
        </w:rPr>
      </w:pPr>
      <w:r w:rsidRPr="001F5924">
        <w:rPr>
          <w:rFonts w:ascii="DiwanMuna-Bold" w:eastAsiaTheme="minorEastAsia" w:hAnsi="Calibri" w:cs="DiwanMuna-Bold" w:hint="cs"/>
          <w:b/>
          <w:bCs/>
          <w:color w:val="000059"/>
          <w:sz w:val="30"/>
          <w:szCs w:val="30"/>
          <w:rtl/>
          <w:lang w:bidi="ar-YE"/>
        </w:rPr>
        <w:t xml:space="preserve">التقدم بطلب للهيئة </w:t>
      </w:r>
      <w:r w:rsidR="00B26F60">
        <w:rPr>
          <w:rFonts w:ascii="DiwanMuna-Bold" w:eastAsiaTheme="minorEastAsia" w:hAnsi="Calibri" w:cs="DiwanMuna-Bold" w:hint="cs"/>
          <w:b/>
          <w:bCs/>
          <w:color w:val="000059"/>
          <w:sz w:val="30"/>
          <w:szCs w:val="30"/>
          <w:rtl/>
          <w:lang w:bidi="ar-YE"/>
        </w:rPr>
        <w:t xml:space="preserve">للموافقة على </w:t>
      </w:r>
      <w:r w:rsidRPr="001F5924">
        <w:rPr>
          <w:rFonts w:ascii="DiwanMuna-Bold" w:eastAsiaTheme="minorEastAsia" w:hAnsi="Calibri" w:cs="DiwanMuna-Bold" w:hint="cs"/>
          <w:b/>
          <w:bCs/>
          <w:color w:val="000059"/>
          <w:sz w:val="30"/>
          <w:szCs w:val="30"/>
          <w:rtl/>
          <w:lang w:bidi="ar-YE"/>
        </w:rPr>
        <w:t>زيادة رأس المال.</w:t>
      </w:r>
    </w:p>
    <w:p w14:paraId="524E9B3E" w14:textId="2CD3B4C6" w:rsidR="00661BAC" w:rsidRPr="00A81165" w:rsidRDefault="00D74D28" w:rsidP="00A81165">
      <w:pPr>
        <w:pStyle w:val="ListParagraph"/>
        <w:numPr>
          <w:ilvl w:val="0"/>
          <w:numId w:val="17"/>
        </w:numPr>
        <w:bidi/>
        <w:spacing w:after="200" w:line="240" w:lineRule="auto"/>
        <w:jc w:val="both"/>
        <w:rPr>
          <w:rFonts w:ascii="DiwanMuna-Bold" w:eastAsiaTheme="minorEastAsia" w:hAnsi="Calibri" w:cs="DiwanMuna-Bold"/>
          <w:b/>
          <w:bCs/>
          <w:color w:val="000059"/>
          <w:sz w:val="30"/>
          <w:szCs w:val="30"/>
          <w:lang w:bidi="ar-YE"/>
        </w:rPr>
      </w:pPr>
      <w:r w:rsidRPr="001F5924">
        <w:rPr>
          <w:rFonts w:ascii="DiwanMuna-Bold" w:eastAsiaTheme="minorEastAsia" w:hAnsi="Calibri" w:cs="DiwanMuna-Bold" w:hint="cs"/>
          <w:b/>
          <w:bCs/>
          <w:color w:val="000059"/>
          <w:sz w:val="30"/>
          <w:szCs w:val="30"/>
          <w:rtl/>
          <w:lang w:bidi="ar-YE"/>
        </w:rPr>
        <w:t>إخطار ال</w:t>
      </w:r>
      <w:r w:rsidR="00D2422D" w:rsidRPr="001F5924">
        <w:rPr>
          <w:rFonts w:ascii="DiwanMuna-Bold" w:eastAsiaTheme="minorEastAsia" w:hAnsi="Calibri" w:cs="DiwanMuna-Bold" w:hint="cs"/>
          <w:b/>
          <w:bCs/>
          <w:color w:val="000059"/>
          <w:sz w:val="30"/>
          <w:szCs w:val="30"/>
          <w:rtl/>
          <w:lang w:bidi="ar-YE"/>
        </w:rPr>
        <w:t xml:space="preserve">هيئة </w:t>
      </w:r>
      <w:r w:rsidR="00661BAC">
        <w:rPr>
          <w:rFonts w:ascii="DiwanMuna-Bold" w:eastAsiaTheme="minorEastAsia" w:hAnsi="Calibri" w:cs="DiwanMuna-Bold" w:hint="cs"/>
          <w:b/>
          <w:bCs/>
          <w:color w:val="000059"/>
          <w:sz w:val="30"/>
          <w:szCs w:val="30"/>
          <w:rtl/>
          <w:lang w:bidi="ar-YE"/>
        </w:rPr>
        <w:t xml:space="preserve">خلال عشرة أيام </w:t>
      </w:r>
      <w:r w:rsidR="00736D37">
        <w:rPr>
          <w:rFonts w:ascii="DiwanMuna-Bold" w:eastAsiaTheme="minorEastAsia" w:hAnsi="Calibri" w:cs="DiwanMuna-Bold" w:hint="cs"/>
          <w:b/>
          <w:bCs/>
          <w:color w:val="000059"/>
          <w:sz w:val="30"/>
          <w:szCs w:val="30"/>
          <w:rtl/>
          <w:lang w:bidi="ar-KW"/>
        </w:rPr>
        <w:t xml:space="preserve">عمل </w:t>
      </w:r>
      <w:r w:rsidR="00A81165">
        <w:rPr>
          <w:rFonts w:ascii="DiwanMuna-Bold" w:eastAsiaTheme="minorEastAsia" w:hAnsi="Calibri" w:cs="DiwanMuna-Bold" w:hint="cs"/>
          <w:b/>
          <w:bCs/>
          <w:color w:val="000059"/>
          <w:sz w:val="30"/>
          <w:szCs w:val="30"/>
          <w:rtl/>
          <w:lang w:bidi="ar-YE"/>
        </w:rPr>
        <w:t>من تاريخ</w:t>
      </w:r>
      <w:r w:rsidR="00D2422D" w:rsidRPr="001F5924">
        <w:rPr>
          <w:rFonts w:ascii="DiwanMuna-Bold" w:eastAsiaTheme="minorEastAsia" w:hAnsi="Calibri" w:cs="DiwanMuna-Bold" w:hint="cs"/>
          <w:b/>
          <w:bCs/>
          <w:color w:val="000059"/>
          <w:sz w:val="30"/>
          <w:szCs w:val="30"/>
          <w:rtl/>
          <w:lang w:bidi="ar-YE"/>
        </w:rPr>
        <w:t xml:space="preserve"> إصدار </w:t>
      </w:r>
      <w:r w:rsidR="00A81165" w:rsidRPr="001F5924">
        <w:rPr>
          <w:rFonts w:ascii="DiwanMuna-Bold" w:eastAsiaTheme="minorEastAsia" w:hAnsi="Calibri" w:cs="DiwanMuna-Bold" w:hint="cs"/>
          <w:b/>
          <w:bCs/>
          <w:color w:val="000059"/>
          <w:sz w:val="30"/>
          <w:szCs w:val="30"/>
          <w:rtl/>
          <w:lang w:bidi="ar-YE"/>
        </w:rPr>
        <w:t>الأسهم.</w:t>
      </w:r>
      <w:r w:rsidRPr="001F5924">
        <w:rPr>
          <w:rFonts w:ascii="DiwanMuna-Bold" w:eastAsiaTheme="minorEastAsia" w:hAnsi="Calibri" w:cs="DiwanMuna-Bold" w:hint="cs"/>
          <w:b/>
          <w:bCs/>
          <w:color w:val="000059"/>
          <w:sz w:val="30"/>
          <w:szCs w:val="30"/>
          <w:rtl/>
          <w:lang w:bidi="ar-YE"/>
        </w:rPr>
        <w:t xml:space="preserve"> </w:t>
      </w:r>
    </w:p>
    <w:p w14:paraId="2CA684F9" w14:textId="37065589" w:rsidR="00661BAC" w:rsidRPr="001F5924" w:rsidRDefault="00661BAC" w:rsidP="00A4133D">
      <w:pPr>
        <w:pStyle w:val="ListParagraph"/>
        <w:numPr>
          <w:ilvl w:val="0"/>
          <w:numId w:val="17"/>
        </w:numPr>
        <w:bidi/>
        <w:spacing w:after="200" w:line="276" w:lineRule="auto"/>
        <w:jc w:val="both"/>
        <w:rPr>
          <w:rFonts w:ascii="DiwanMuna-Bold" w:eastAsiaTheme="minorEastAsia" w:hAnsi="Calibri" w:cs="DiwanMuna-Bold"/>
          <w:b/>
          <w:bCs/>
          <w:color w:val="000059"/>
          <w:sz w:val="30"/>
          <w:szCs w:val="30"/>
          <w:lang w:bidi="ar-YE"/>
        </w:rPr>
      </w:pPr>
      <w:r w:rsidRPr="001F5924">
        <w:rPr>
          <w:rFonts w:ascii="DiwanMuna-Bold" w:eastAsiaTheme="minorEastAsia" w:hAnsi="Calibri" w:cs="DiwanMuna-Bold" w:hint="cs"/>
          <w:b/>
          <w:bCs/>
          <w:color w:val="000059"/>
          <w:sz w:val="30"/>
          <w:szCs w:val="30"/>
          <w:rtl/>
          <w:lang w:bidi="ar-YE"/>
        </w:rPr>
        <w:t xml:space="preserve">يجب أن يتضمن القرار الصادر من الجمعية العامة للشركة في هذا الشأن ما يفيد تنازل المساهمين عن حقهم في </w:t>
      </w:r>
      <w:r w:rsidR="00A4133D">
        <w:rPr>
          <w:rFonts w:ascii="DiwanMuna-Bold" w:eastAsiaTheme="minorEastAsia" w:hAnsi="Calibri" w:cs="DiwanMuna-Bold" w:hint="cs"/>
          <w:b/>
          <w:bCs/>
          <w:color w:val="000059"/>
          <w:sz w:val="30"/>
          <w:szCs w:val="30"/>
          <w:rtl/>
          <w:lang w:bidi="ar-YE"/>
        </w:rPr>
        <w:t>ال</w:t>
      </w:r>
      <w:r w:rsidRPr="001F5924">
        <w:rPr>
          <w:rFonts w:ascii="DiwanMuna-Bold" w:eastAsiaTheme="minorEastAsia" w:hAnsi="Calibri" w:cs="DiwanMuna-Bold" w:hint="cs"/>
          <w:b/>
          <w:bCs/>
          <w:color w:val="000059"/>
          <w:sz w:val="30"/>
          <w:szCs w:val="30"/>
          <w:rtl/>
          <w:lang w:bidi="ar-YE"/>
        </w:rPr>
        <w:t xml:space="preserve">أولوية </w:t>
      </w:r>
      <w:r w:rsidR="00A4133D">
        <w:rPr>
          <w:rFonts w:ascii="DiwanMuna-Bold" w:eastAsiaTheme="minorEastAsia" w:hAnsi="Calibri" w:cs="DiwanMuna-Bold" w:hint="eastAsia"/>
          <w:b/>
          <w:bCs/>
          <w:color w:val="000059"/>
          <w:sz w:val="30"/>
          <w:szCs w:val="30"/>
          <w:rtl/>
          <w:lang w:bidi="ar-YE"/>
        </w:rPr>
        <w:t>في</w:t>
      </w:r>
      <w:r w:rsidR="00A4133D">
        <w:rPr>
          <w:rFonts w:ascii="DiwanMuna-Bold" w:eastAsiaTheme="minorEastAsia" w:hAnsi="Calibri" w:cs="DiwanMuna-Bold" w:hint="cs"/>
          <w:b/>
          <w:bCs/>
          <w:color w:val="000059"/>
          <w:sz w:val="30"/>
          <w:szCs w:val="30"/>
          <w:rtl/>
          <w:lang w:bidi="ar-YE"/>
        </w:rPr>
        <w:t xml:space="preserve"> </w:t>
      </w:r>
      <w:r w:rsidRPr="001F5924">
        <w:rPr>
          <w:rFonts w:ascii="DiwanMuna-Bold" w:eastAsiaTheme="minorEastAsia" w:hAnsi="Calibri" w:cs="DiwanMuna-Bold" w:hint="cs"/>
          <w:b/>
          <w:bCs/>
          <w:color w:val="000059"/>
          <w:sz w:val="30"/>
          <w:szCs w:val="30"/>
          <w:rtl/>
          <w:lang w:bidi="ar-YE"/>
        </w:rPr>
        <w:t xml:space="preserve">الاكتتاب فيما يخصص للموظفين من أسهم الزيادة. </w:t>
      </w:r>
    </w:p>
    <w:p w14:paraId="65B6FE32" w14:textId="77777777" w:rsidR="00893236" w:rsidRPr="001F5924" w:rsidRDefault="00893236" w:rsidP="001F5924">
      <w:pPr>
        <w:widowControl w:val="0"/>
        <w:autoSpaceDE w:val="0"/>
        <w:autoSpaceDN w:val="0"/>
        <w:bidi/>
        <w:adjustRightInd w:val="0"/>
        <w:spacing w:after="0" w:line="276" w:lineRule="auto"/>
        <w:jc w:val="both"/>
        <w:textAlignment w:val="center"/>
        <w:rPr>
          <w:rFonts w:ascii="DiwanMuna-Bold" w:eastAsiaTheme="minorEastAsia" w:cs="DiwanMuna-Bold"/>
          <w:b/>
          <w:bCs/>
          <w:color w:val="B5A500"/>
          <w:sz w:val="34"/>
          <w:szCs w:val="34"/>
          <w:u w:val="single"/>
          <w:lang w:bidi="ar-YE"/>
        </w:rPr>
      </w:pPr>
    </w:p>
    <w:p w14:paraId="3842C411" w14:textId="3B7AF68D" w:rsidR="00E0177C" w:rsidRPr="001F5924" w:rsidRDefault="004E6DA0" w:rsidP="004E6DA0">
      <w:pPr>
        <w:widowControl w:val="0"/>
        <w:autoSpaceDE w:val="0"/>
        <w:autoSpaceDN w:val="0"/>
        <w:bidi/>
        <w:adjustRightInd w:val="0"/>
        <w:spacing w:after="0" w:line="276" w:lineRule="auto"/>
        <w:jc w:val="both"/>
        <w:textAlignment w:val="center"/>
        <w:rPr>
          <w:rFonts w:ascii="DiwanMuna-Bold" w:eastAsiaTheme="minorEastAsia" w:cs="DiwanMuna-Bold"/>
          <w:b/>
          <w:bCs/>
          <w:color w:val="B5A500"/>
          <w:sz w:val="34"/>
          <w:szCs w:val="34"/>
          <w:u w:val="single"/>
          <w:rtl/>
          <w:lang w:bidi="ar-YE"/>
        </w:rPr>
      </w:pPr>
      <w:r>
        <w:rPr>
          <w:rFonts w:ascii="DiwanMuna-Bold" w:eastAsiaTheme="minorEastAsia" w:cs="DiwanMuna-Bold" w:hint="cs"/>
          <w:b/>
          <w:bCs/>
          <w:color w:val="B5A500"/>
          <w:sz w:val="34"/>
          <w:szCs w:val="34"/>
          <w:u w:val="single"/>
          <w:rtl/>
          <w:lang w:bidi="ar-YE"/>
        </w:rPr>
        <w:t>ال</w:t>
      </w:r>
      <w:r w:rsidR="007C0E1B" w:rsidRPr="001F5924">
        <w:rPr>
          <w:rFonts w:ascii="DiwanMuna-Bold" w:eastAsiaTheme="minorEastAsia" w:cs="DiwanMuna-Bold" w:hint="cs"/>
          <w:b/>
          <w:bCs/>
          <w:color w:val="B5A500"/>
          <w:sz w:val="34"/>
          <w:szCs w:val="34"/>
          <w:u w:val="single"/>
          <w:rtl/>
          <w:lang w:bidi="ar-YE"/>
        </w:rPr>
        <w:t>إجراءات و</w:t>
      </w:r>
      <w:r>
        <w:rPr>
          <w:rFonts w:ascii="DiwanMuna-Bold" w:eastAsiaTheme="minorEastAsia" w:cs="DiwanMuna-Bold" w:hint="cs"/>
          <w:b/>
          <w:bCs/>
          <w:color w:val="B5A500"/>
          <w:sz w:val="34"/>
          <w:szCs w:val="34"/>
          <w:u w:val="single"/>
          <w:rtl/>
          <w:lang w:bidi="ar-YE"/>
        </w:rPr>
        <w:t>ال</w:t>
      </w:r>
      <w:r w:rsidR="00E0177C" w:rsidRPr="001F5924">
        <w:rPr>
          <w:rFonts w:ascii="DiwanMuna-Bold" w:eastAsiaTheme="minorEastAsia" w:cs="DiwanMuna-Bold" w:hint="cs"/>
          <w:b/>
          <w:bCs/>
          <w:color w:val="B5A500"/>
          <w:sz w:val="34"/>
          <w:szCs w:val="34"/>
          <w:u w:val="single"/>
          <w:rtl/>
          <w:lang w:bidi="ar-YE"/>
        </w:rPr>
        <w:t xml:space="preserve">ضوابط </w:t>
      </w:r>
      <w:r>
        <w:rPr>
          <w:rFonts w:ascii="DiwanMuna-Bold" w:eastAsiaTheme="minorEastAsia" w:cs="DiwanMuna-Bold" w:hint="cs"/>
          <w:b/>
          <w:bCs/>
          <w:color w:val="B5A500"/>
          <w:sz w:val="34"/>
          <w:szCs w:val="34"/>
          <w:u w:val="single"/>
          <w:rtl/>
          <w:lang w:bidi="ar-YE"/>
        </w:rPr>
        <w:t>ال</w:t>
      </w:r>
      <w:r w:rsidR="00E0177C" w:rsidRPr="001F5924">
        <w:rPr>
          <w:rFonts w:ascii="DiwanMuna-Bold" w:eastAsiaTheme="minorEastAsia" w:cs="DiwanMuna-Bold" w:hint="cs"/>
          <w:b/>
          <w:bCs/>
          <w:color w:val="B5A500"/>
          <w:sz w:val="34"/>
          <w:szCs w:val="34"/>
          <w:u w:val="single"/>
          <w:rtl/>
          <w:lang w:bidi="ar-YE"/>
        </w:rPr>
        <w:t xml:space="preserve">خاصة </w:t>
      </w:r>
      <w:r>
        <w:rPr>
          <w:rFonts w:ascii="DiwanMuna-Bold" w:eastAsiaTheme="minorEastAsia" w:cs="DiwanMuna-Bold" w:hint="cs"/>
          <w:b/>
          <w:bCs/>
          <w:color w:val="B5A500"/>
          <w:sz w:val="34"/>
          <w:szCs w:val="34"/>
          <w:u w:val="single"/>
          <w:rtl/>
          <w:lang w:bidi="ar-YE"/>
        </w:rPr>
        <w:t>بنظام</w:t>
      </w:r>
      <w:r w:rsidRPr="001F5924">
        <w:rPr>
          <w:rFonts w:ascii="DiwanMuna-Bold" w:eastAsiaTheme="minorEastAsia" w:cs="DiwanMuna-Bold" w:hint="cs"/>
          <w:b/>
          <w:bCs/>
          <w:color w:val="B5A500"/>
          <w:sz w:val="34"/>
          <w:szCs w:val="34"/>
          <w:u w:val="single"/>
          <w:rtl/>
          <w:lang w:bidi="ar-YE"/>
        </w:rPr>
        <w:t xml:space="preserve"> </w:t>
      </w:r>
      <w:r w:rsidR="00E0177C" w:rsidRPr="001F5924">
        <w:rPr>
          <w:rFonts w:ascii="DiwanMuna-Bold" w:eastAsiaTheme="minorEastAsia" w:cs="DiwanMuna-Bold" w:hint="cs"/>
          <w:b/>
          <w:bCs/>
          <w:color w:val="B5A500"/>
          <w:sz w:val="34"/>
          <w:szCs w:val="34"/>
          <w:u w:val="single"/>
          <w:rtl/>
          <w:lang w:bidi="ar-YE"/>
        </w:rPr>
        <w:t>خيار</w:t>
      </w:r>
      <w:r w:rsidR="0026464B" w:rsidRPr="001F5924">
        <w:rPr>
          <w:rFonts w:ascii="DiwanMuna-Bold" w:eastAsiaTheme="minorEastAsia" w:cs="DiwanMuna-Bold" w:hint="cs"/>
          <w:b/>
          <w:bCs/>
          <w:color w:val="B5A500"/>
          <w:sz w:val="34"/>
          <w:szCs w:val="34"/>
          <w:u w:val="single"/>
          <w:rtl/>
          <w:lang w:bidi="ar-YE"/>
        </w:rPr>
        <w:t xml:space="preserve"> شراء</w:t>
      </w:r>
      <w:r w:rsidR="00E0177C" w:rsidRPr="001F5924">
        <w:rPr>
          <w:rFonts w:ascii="DiwanMuna-Bold" w:eastAsiaTheme="minorEastAsia" w:cs="DiwanMuna-Bold" w:hint="cs"/>
          <w:b/>
          <w:bCs/>
          <w:color w:val="B5A500"/>
          <w:sz w:val="34"/>
          <w:szCs w:val="34"/>
          <w:u w:val="single"/>
          <w:rtl/>
          <w:lang w:bidi="ar-YE"/>
        </w:rPr>
        <w:t xml:space="preserve"> </w:t>
      </w:r>
      <w:r w:rsidR="003613A3" w:rsidRPr="001F5924">
        <w:rPr>
          <w:rFonts w:ascii="DiwanMuna-Bold" w:eastAsiaTheme="minorEastAsia" w:cs="DiwanMuna-Bold" w:hint="cs"/>
          <w:b/>
          <w:bCs/>
          <w:color w:val="B5A500"/>
          <w:sz w:val="34"/>
          <w:szCs w:val="34"/>
          <w:u w:val="single"/>
          <w:rtl/>
          <w:lang w:bidi="ar-YE"/>
        </w:rPr>
        <w:t>ال</w:t>
      </w:r>
      <w:r w:rsidR="00E0177C" w:rsidRPr="001F5924">
        <w:rPr>
          <w:rFonts w:ascii="DiwanMuna-Bold" w:eastAsiaTheme="minorEastAsia" w:cs="DiwanMuna-Bold" w:hint="cs"/>
          <w:b/>
          <w:bCs/>
          <w:color w:val="B5A500"/>
          <w:sz w:val="34"/>
          <w:szCs w:val="34"/>
          <w:u w:val="single"/>
          <w:rtl/>
          <w:lang w:bidi="ar-YE"/>
        </w:rPr>
        <w:t xml:space="preserve">أسهم </w:t>
      </w:r>
      <w:r w:rsidR="003613A3" w:rsidRPr="001F5924">
        <w:rPr>
          <w:rFonts w:ascii="DiwanMuna-Bold" w:eastAsiaTheme="minorEastAsia" w:cs="DiwanMuna-Bold" w:hint="cs"/>
          <w:b/>
          <w:bCs/>
          <w:color w:val="B5A500"/>
          <w:sz w:val="34"/>
          <w:szCs w:val="34"/>
          <w:u w:val="single"/>
          <w:rtl/>
          <w:lang w:bidi="ar-YE"/>
        </w:rPr>
        <w:t>ل</w:t>
      </w:r>
      <w:r w:rsidR="00E0177C" w:rsidRPr="001F5924">
        <w:rPr>
          <w:rFonts w:ascii="DiwanMuna-Bold" w:eastAsiaTheme="minorEastAsia" w:cs="DiwanMuna-Bold" w:hint="cs"/>
          <w:b/>
          <w:bCs/>
          <w:color w:val="B5A500"/>
          <w:sz w:val="34"/>
          <w:szCs w:val="34"/>
          <w:u w:val="single"/>
          <w:rtl/>
          <w:lang w:bidi="ar-YE"/>
        </w:rPr>
        <w:t>لموظفين من خلال استخدام أسهم الخزينة:</w:t>
      </w:r>
    </w:p>
    <w:p w14:paraId="74689C56" w14:textId="7751492D" w:rsidR="00E0177C" w:rsidRPr="001F5924" w:rsidRDefault="00E0177C" w:rsidP="004E6DA0">
      <w:pPr>
        <w:pStyle w:val="ListParagraph"/>
        <w:numPr>
          <w:ilvl w:val="0"/>
          <w:numId w:val="5"/>
        </w:numPr>
        <w:bidi/>
        <w:spacing w:after="200" w:line="276" w:lineRule="auto"/>
        <w:ind w:left="540"/>
        <w:jc w:val="both"/>
        <w:rPr>
          <w:rFonts w:ascii="DiwanMuna-Bold" w:eastAsiaTheme="minorEastAsia" w:hAnsi="Calibri" w:cs="DiwanMuna-Bold"/>
          <w:b/>
          <w:bCs/>
          <w:color w:val="000059"/>
          <w:sz w:val="30"/>
          <w:szCs w:val="30"/>
          <w:rtl/>
          <w:lang w:bidi="ar-YE"/>
        </w:rPr>
      </w:pPr>
      <w:r w:rsidRPr="001F5924">
        <w:rPr>
          <w:rFonts w:ascii="DiwanMuna-Bold" w:eastAsiaTheme="minorEastAsia" w:hAnsi="Calibri" w:cs="DiwanMuna-Bold" w:hint="cs"/>
          <w:b/>
          <w:bCs/>
          <w:color w:val="000059"/>
          <w:sz w:val="30"/>
          <w:szCs w:val="30"/>
          <w:rtl/>
          <w:lang w:bidi="ar-YE"/>
        </w:rPr>
        <w:t xml:space="preserve">يجب على الشركة الراغبة باستحداث </w:t>
      </w:r>
      <w:r w:rsidR="00B26F60">
        <w:rPr>
          <w:rFonts w:ascii="DiwanMuna-Bold" w:eastAsiaTheme="minorEastAsia" w:hAnsi="Calibri" w:cs="DiwanMuna-Bold" w:hint="cs"/>
          <w:b/>
          <w:bCs/>
          <w:color w:val="000059"/>
          <w:sz w:val="30"/>
          <w:szCs w:val="30"/>
          <w:rtl/>
          <w:lang w:bidi="ar-YE"/>
        </w:rPr>
        <w:t>نظام</w:t>
      </w:r>
      <w:r w:rsidR="00B26F60" w:rsidRPr="001F5924">
        <w:rPr>
          <w:rFonts w:ascii="DiwanMuna-Bold" w:eastAsiaTheme="minorEastAsia" w:hAnsi="Calibri" w:cs="DiwanMuna-Bold" w:hint="cs"/>
          <w:b/>
          <w:bCs/>
          <w:color w:val="000059"/>
          <w:sz w:val="30"/>
          <w:szCs w:val="30"/>
          <w:rtl/>
          <w:lang w:bidi="ar-YE"/>
        </w:rPr>
        <w:t xml:space="preserve"> </w:t>
      </w:r>
      <w:r w:rsidRPr="001F5924">
        <w:rPr>
          <w:rFonts w:ascii="DiwanMuna-Bold" w:eastAsiaTheme="minorEastAsia" w:hAnsi="Calibri" w:cs="DiwanMuna-Bold" w:hint="cs"/>
          <w:b/>
          <w:bCs/>
          <w:color w:val="000059"/>
          <w:sz w:val="30"/>
          <w:szCs w:val="30"/>
          <w:rtl/>
          <w:lang w:bidi="ar-YE"/>
        </w:rPr>
        <w:t xml:space="preserve">خيار </w:t>
      </w:r>
      <w:r w:rsidR="00B26F60">
        <w:rPr>
          <w:rFonts w:ascii="DiwanMuna-Bold" w:eastAsiaTheme="minorEastAsia" w:hAnsi="Calibri" w:cs="DiwanMuna-Bold" w:hint="cs"/>
          <w:b/>
          <w:bCs/>
          <w:color w:val="000059"/>
          <w:sz w:val="30"/>
          <w:szCs w:val="30"/>
          <w:rtl/>
          <w:lang w:bidi="ar-YE"/>
        </w:rPr>
        <w:t xml:space="preserve">شراء </w:t>
      </w:r>
      <w:r w:rsidR="003613A3" w:rsidRPr="001F5924">
        <w:rPr>
          <w:rFonts w:ascii="DiwanMuna-Bold" w:eastAsiaTheme="minorEastAsia" w:hAnsi="Calibri" w:cs="DiwanMuna-Bold" w:hint="cs"/>
          <w:b/>
          <w:bCs/>
          <w:color w:val="000059"/>
          <w:sz w:val="30"/>
          <w:szCs w:val="30"/>
          <w:rtl/>
          <w:lang w:bidi="ar-YE"/>
        </w:rPr>
        <w:t>ال</w:t>
      </w:r>
      <w:r w:rsidRPr="001F5924">
        <w:rPr>
          <w:rFonts w:ascii="DiwanMuna-Bold" w:eastAsiaTheme="minorEastAsia" w:hAnsi="Calibri" w:cs="DiwanMuna-Bold" w:hint="cs"/>
          <w:b/>
          <w:bCs/>
          <w:color w:val="000059"/>
          <w:sz w:val="30"/>
          <w:szCs w:val="30"/>
          <w:rtl/>
          <w:lang w:bidi="ar-YE"/>
        </w:rPr>
        <w:t xml:space="preserve">أسهم </w:t>
      </w:r>
      <w:r w:rsidR="003613A3" w:rsidRPr="001F5924">
        <w:rPr>
          <w:rFonts w:ascii="DiwanMuna-Bold" w:eastAsiaTheme="minorEastAsia" w:hAnsi="Calibri" w:cs="DiwanMuna-Bold" w:hint="cs"/>
          <w:b/>
          <w:bCs/>
          <w:color w:val="000059"/>
          <w:sz w:val="30"/>
          <w:szCs w:val="30"/>
          <w:rtl/>
          <w:lang w:bidi="ar-YE"/>
        </w:rPr>
        <w:t>ل</w:t>
      </w:r>
      <w:r w:rsidRPr="001F5924">
        <w:rPr>
          <w:rFonts w:ascii="DiwanMuna-Bold" w:eastAsiaTheme="minorEastAsia" w:hAnsi="Calibri" w:cs="DiwanMuna-Bold" w:hint="cs"/>
          <w:b/>
          <w:bCs/>
          <w:color w:val="000059"/>
          <w:sz w:val="30"/>
          <w:szCs w:val="30"/>
          <w:rtl/>
          <w:lang w:bidi="ar-YE"/>
        </w:rPr>
        <w:t xml:space="preserve">لموظفين </w:t>
      </w:r>
      <w:r w:rsidR="00B26F60">
        <w:rPr>
          <w:rFonts w:ascii="DiwanMuna-Bold" w:eastAsiaTheme="minorEastAsia" w:hAnsi="Calibri" w:cs="DiwanMuna-Bold" w:hint="cs"/>
          <w:b/>
          <w:bCs/>
          <w:color w:val="000059"/>
          <w:sz w:val="30"/>
          <w:szCs w:val="30"/>
          <w:rtl/>
          <w:lang w:bidi="ar-YE"/>
        </w:rPr>
        <w:t xml:space="preserve">توفير الأسهم اللازمة لتنفيذ النظام </w:t>
      </w:r>
      <w:r w:rsidRPr="001F5924">
        <w:rPr>
          <w:rFonts w:ascii="DiwanMuna-Bold" w:eastAsiaTheme="minorEastAsia" w:hAnsi="Calibri" w:cs="DiwanMuna-Bold" w:hint="cs"/>
          <w:b/>
          <w:bCs/>
          <w:color w:val="000059"/>
          <w:sz w:val="30"/>
          <w:szCs w:val="30"/>
          <w:rtl/>
          <w:lang w:bidi="ar-YE"/>
        </w:rPr>
        <w:t>عن طريق استخدام أسهم الخزينة القيام بالتالي:</w:t>
      </w:r>
    </w:p>
    <w:p w14:paraId="6C42791D" w14:textId="58E4027D" w:rsidR="00E0177C" w:rsidRPr="001F5924" w:rsidRDefault="00E0177C" w:rsidP="00B26F60">
      <w:pPr>
        <w:pStyle w:val="ListParagraph"/>
        <w:numPr>
          <w:ilvl w:val="0"/>
          <w:numId w:val="5"/>
        </w:numPr>
        <w:bidi/>
        <w:spacing w:after="200" w:line="276" w:lineRule="auto"/>
        <w:ind w:left="540"/>
        <w:jc w:val="both"/>
        <w:rPr>
          <w:rFonts w:ascii="DiwanMuna-Bold" w:eastAsiaTheme="minorEastAsia" w:hAnsi="Calibri" w:cs="DiwanMuna-Bold"/>
          <w:b/>
          <w:bCs/>
          <w:color w:val="000059"/>
          <w:sz w:val="30"/>
          <w:szCs w:val="30"/>
          <w:lang w:bidi="ar-YE"/>
        </w:rPr>
      </w:pPr>
      <w:r w:rsidRPr="001F5924">
        <w:rPr>
          <w:rFonts w:ascii="DiwanMuna-Bold" w:eastAsiaTheme="minorEastAsia" w:hAnsi="Calibri" w:cs="DiwanMuna-Bold" w:hint="cs"/>
          <w:b/>
          <w:bCs/>
          <w:color w:val="000059"/>
          <w:sz w:val="30"/>
          <w:szCs w:val="30"/>
          <w:rtl/>
          <w:lang w:bidi="ar-YE"/>
        </w:rPr>
        <w:t xml:space="preserve">يصدر مجلس إدارة الشركة توصية باستحداث </w:t>
      </w:r>
      <w:r w:rsidR="00B26F60">
        <w:rPr>
          <w:rFonts w:ascii="DiwanMuna-Bold" w:eastAsiaTheme="minorEastAsia" w:hAnsi="Calibri" w:cs="DiwanMuna-Bold" w:hint="cs"/>
          <w:b/>
          <w:bCs/>
          <w:color w:val="000059"/>
          <w:sz w:val="30"/>
          <w:szCs w:val="30"/>
          <w:rtl/>
          <w:lang w:bidi="ar-YE"/>
        </w:rPr>
        <w:t>نظام</w:t>
      </w:r>
      <w:r w:rsidR="00B26F60" w:rsidRPr="001F5924">
        <w:rPr>
          <w:rFonts w:ascii="DiwanMuna-Bold" w:eastAsiaTheme="minorEastAsia" w:hAnsi="Calibri" w:cs="DiwanMuna-Bold" w:hint="cs"/>
          <w:b/>
          <w:bCs/>
          <w:color w:val="000059"/>
          <w:sz w:val="30"/>
          <w:szCs w:val="30"/>
          <w:rtl/>
          <w:lang w:bidi="ar-YE"/>
        </w:rPr>
        <w:t xml:space="preserve"> </w:t>
      </w:r>
      <w:r w:rsidRPr="001F5924">
        <w:rPr>
          <w:rFonts w:ascii="DiwanMuna-Bold" w:eastAsiaTheme="minorEastAsia" w:hAnsi="Calibri" w:cs="DiwanMuna-Bold" w:hint="cs"/>
          <w:b/>
          <w:bCs/>
          <w:color w:val="000059"/>
          <w:sz w:val="30"/>
          <w:szCs w:val="30"/>
          <w:rtl/>
          <w:lang w:bidi="ar-YE"/>
        </w:rPr>
        <w:t xml:space="preserve">خيار شراء </w:t>
      </w:r>
      <w:r w:rsidR="003613A3" w:rsidRPr="001F5924">
        <w:rPr>
          <w:rFonts w:ascii="DiwanMuna-Bold" w:eastAsiaTheme="minorEastAsia" w:hAnsi="Calibri" w:cs="DiwanMuna-Bold" w:hint="cs"/>
          <w:b/>
          <w:bCs/>
          <w:color w:val="000059"/>
          <w:sz w:val="30"/>
          <w:szCs w:val="30"/>
          <w:rtl/>
          <w:lang w:bidi="ar-YE"/>
        </w:rPr>
        <w:t>ال</w:t>
      </w:r>
      <w:r w:rsidRPr="001F5924">
        <w:rPr>
          <w:rFonts w:ascii="DiwanMuna-Bold" w:eastAsiaTheme="minorEastAsia" w:hAnsi="Calibri" w:cs="DiwanMuna-Bold" w:hint="cs"/>
          <w:b/>
          <w:bCs/>
          <w:color w:val="000059"/>
          <w:sz w:val="30"/>
          <w:szCs w:val="30"/>
          <w:rtl/>
          <w:lang w:bidi="ar-YE"/>
        </w:rPr>
        <w:t xml:space="preserve">أسهم </w:t>
      </w:r>
      <w:r w:rsidR="003613A3" w:rsidRPr="001F5924">
        <w:rPr>
          <w:rFonts w:ascii="DiwanMuna-Bold" w:eastAsiaTheme="minorEastAsia" w:hAnsi="Calibri" w:cs="DiwanMuna-Bold" w:hint="cs"/>
          <w:b/>
          <w:bCs/>
          <w:color w:val="000059"/>
          <w:sz w:val="30"/>
          <w:szCs w:val="30"/>
          <w:rtl/>
          <w:lang w:bidi="ar-YE"/>
        </w:rPr>
        <w:t>ل</w:t>
      </w:r>
      <w:r w:rsidRPr="001F5924">
        <w:rPr>
          <w:rFonts w:ascii="DiwanMuna-Bold" w:eastAsiaTheme="minorEastAsia" w:hAnsi="Calibri" w:cs="DiwanMuna-Bold" w:hint="cs"/>
          <w:b/>
          <w:bCs/>
          <w:color w:val="000059"/>
          <w:sz w:val="30"/>
          <w:szCs w:val="30"/>
          <w:rtl/>
          <w:lang w:bidi="ar-YE"/>
        </w:rPr>
        <w:t xml:space="preserve">لموظفين </w:t>
      </w:r>
      <w:r w:rsidR="00B26F60">
        <w:rPr>
          <w:rFonts w:ascii="DiwanMuna-Bold" w:eastAsiaTheme="minorEastAsia" w:hAnsi="Calibri" w:cs="DiwanMuna-Bold" w:hint="cs"/>
          <w:b/>
          <w:bCs/>
          <w:color w:val="000059"/>
          <w:sz w:val="30"/>
          <w:szCs w:val="30"/>
          <w:rtl/>
          <w:lang w:bidi="ar-YE"/>
        </w:rPr>
        <w:t>وتوفير الأسهم اللازمة لتنفيذ النظام</w:t>
      </w:r>
      <w:r w:rsidR="00B26F60" w:rsidRPr="001F5924">
        <w:rPr>
          <w:rFonts w:ascii="DiwanMuna-Bold" w:eastAsiaTheme="minorEastAsia" w:hAnsi="Calibri" w:cs="DiwanMuna-Bold" w:hint="cs"/>
          <w:b/>
          <w:bCs/>
          <w:color w:val="000059"/>
          <w:sz w:val="30"/>
          <w:szCs w:val="30"/>
          <w:rtl/>
          <w:lang w:bidi="ar-YE"/>
        </w:rPr>
        <w:t xml:space="preserve"> </w:t>
      </w:r>
      <w:r w:rsidRPr="001F5924">
        <w:rPr>
          <w:rFonts w:ascii="DiwanMuna-Bold" w:eastAsiaTheme="minorEastAsia" w:hAnsi="Calibri" w:cs="DiwanMuna-Bold" w:hint="cs"/>
          <w:b/>
          <w:bCs/>
          <w:color w:val="000059"/>
          <w:sz w:val="30"/>
          <w:szCs w:val="30"/>
          <w:rtl/>
          <w:lang w:bidi="ar-YE"/>
        </w:rPr>
        <w:t>عن طريق أسهم الخزينة.</w:t>
      </w:r>
    </w:p>
    <w:p w14:paraId="4D2D40B3" w14:textId="047127E8" w:rsidR="00E0177C" w:rsidRPr="001F5924" w:rsidRDefault="00E0177C" w:rsidP="004E6DA0">
      <w:pPr>
        <w:pStyle w:val="ListParagraph"/>
        <w:numPr>
          <w:ilvl w:val="0"/>
          <w:numId w:val="5"/>
        </w:numPr>
        <w:bidi/>
        <w:spacing w:after="200" w:line="276" w:lineRule="auto"/>
        <w:ind w:left="540"/>
        <w:jc w:val="both"/>
        <w:rPr>
          <w:rFonts w:ascii="DiwanMuna-Bold" w:eastAsiaTheme="minorEastAsia" w:hAnsi="Calibri" w:cs="DiwanMuna-Bold"/>
          <w:b/>
          <w:bCs/>
          <w:color w:val="000059"/>
          <w:sz w:val="30"/>
          <w:szCs w:val="30"/>
          <w:lang w:bidi="ar-YE"/>
        </w:rPr>
      </w:pPr>
      <w:r w:rsidRPr="001F5924">
        <w:rPr>
          <w:rFonts w:ascii="DiwanMuna-Bold" w:eastAsiaTheme="minorEastAsia" w:hAnsi="Calibri" w:cs="DiwanMuna-Bold" w:hint="cs"/>
          <w:b/>
          <w:bCs/>
          <w:color w:val="000059"/>
          <w:sz w:val="30"/>
          <w:szCs w:val="30"/>
          <w:rtl/>
          <w:lang w:bidi="ar-YE"/>
        </w:rPr>
        <w:t>التقدم للهيئة بطلب حق شراء أو بيع أسهم الخزينة في حال عدم وجود موافقة سارية.</w:t>
      </w:r>
    </w:p>
    <w:p w14:paraId="4C9CBFFE" w14:textId="6210C8A3" w:rsidR="00744993" w:rsidRPr="00200603" w:rsidRDefault="00CE4D23" w:rsidP="00200603">
      <w:pPr>
        <w:pStyle w:val="ListParagraph"/>
        <w:numPr>
          <w:ilvl w:val="0"/>
          <w:numId w:val="5"/>
        </w:numPr>
        <w:bidi/>
        <w:spacing w:after="200" w:line="276" w:lineRule="auto"/>
        <w:ind w:left="540"/>
        <w:jc w:val="both"/>
        <w:rPr>
          <w:rFonts w:ascii="DiwanMuna-Bold" w:eastAsiaTheme="minorEastAsia" w:hAnsi="Calibri" w:cs="DiwanMuna-Bold"/>
          <w:b/>
          <w:bCs/>
          <w:color w:val="000059"/>
          <w:sz w:val="30"/>
          <w:szCs w:val="30"/>
          <w:lang w:bidi="ar-YE"/>
        </w:rPr>
      </w:pPr>
      <w:r w:rsidRPr="001F5924">
        <w:rPr>
          <w:rFonts w:ascii="DiwanMuna-Bold" w:eastAsiaTheme="minorEastAsia" w:hAnsi="Calibri" w:cs="DiwanMuna-Bold" w:hint="cs"/>
          <w:b/>
          <w:bCs/>
          <w:color w:val="000059"/>
          <w:sz w:val="30"/>
          <w:szCs w:val="30"/>
          <w:rtl/>
          <w:lang w:bidi="ar-YE"/>
        </w:rPr>
        <w:t xml:space="preserve">يتم اعتماد </w:t>
      </w:r>
      <w:r w:rsidR="00440019" w:rsidRPr="001F5924">
        <w:rPr>
          <w:rFonts w:ascii="DiwanMuna-Bold" w:eastAsiaTheme="minorEastAsia" w:hAnsi="Calibri" w:cs="DiwanMuna-Bold" w:hint="cs"/>
          <w:b/>
          <w:bCs/>
          <w:color w:val="000059"/>
          <w:sz w:val="30"/>
          <w:szCs w:val="30"/>
          <w:rtl/>
          <w:lang w:bidi="ar-YE"/>
        </w:rPr>
        <w:t>القيمة السوقية أو القيمة العادل</w:t>
      </w:r>
      <w:r w:rsidR="005F5EFB" w:rsidRPr="001F5924">
        <w:rPr>
          <w:rFonts w:ascii="DiwanMuna-Bold" w:eastAsiaTheme="minorEastAsia" w:hAnsi="Calibri" w:cs="DiwanMuna-Bold" w:hint="cs"/>
          <w:b/>
          <w:bCs/>
          <w:color w:val="000059"/>
          <w:sz w:val="30"/>
          <w:szCs w:val="30"/>
          <w:rtl/>
          <w:lang w:bidi="ar-YE"/>
        </w:rPr>
        <w:t>ة</w:t>
      </w:r>
      <w:r w:rsidR="001722A3">
        <w:rPr>
          <w:rFonts w:ascii="DiwanMuna-Bold" w:eastAsiaTheme="minorEastAsia" w:hAnsi="Calibri" w:cs="DiwanMuna-Bold" w:hint="cs"/>
          <w:b/>
          <w:bCs/>
          <w:color w:val="000059"/>
          <w:sz w:val="30"/>
          <w:szCs w:val="30"/>
          <w:rtl/>
          <w:lang w:bidi="ar-YE"/>
        </w:rPr>
        <w:t>،</w:t>
      </w:r>
      <w:r w:rsidR="005F5EFB" w:rsidRPr="001F5924">
        <w:rPr>
          <w:rFonts w:ascii="DiwanMuna-Bold" w:eastAsiaTheme="minorEastAsia" w:hAnsi="Calibri" w:cs="DiwanMuna-Bold" w:hint="cs"/>
          <w:b/>
          <w:bCs/>
          <w:color w:val="000059"/>
          <w:sz w:val="30"/>
          <w:szCs w:val="30"/>
          <w:rtl/>
          <w:lang w:bidi="ar-YE"/>
        </w:rPr>
        <w:t xml:space="preserve"> والتي يحددها مستشار استثمار. </w:t>
      </w:r>
    </w:p>
    <w:p w14:paraId="7054FC52" w14:textId="77777777" w:rsidR="00744993" w:rsidRPr="00A81165" w:rsidRDefault="00744993" w:rsidP="00E01C5A">
      <w:pPr>
        <w:rPr>
          <w:sz w:val="16"/>
          <w:szCs w:val="16"/>
          <w:rtl/>
          <w:lang w:bidi="ar-KW"/>
        </w:rPr>
      </w:pPr>
    </w:p>
    <w:p w14:paraId="074ECE08" w14:textId="785466E8" w:rsidR="007C0E1B" w:rsidRDefault="00E01C5A" w:rsidP="00652A79">
      <w:pPr>
        <w:jc w:val="right"/>
        <w:rPr>
          <w:rFonts w:ascii="DiwanMuna-Bold" w:eastAsiaTheme="minorEastAsia" w:cs="DiwanMuna-Bold"/>
          <w:b/>
          <w:bCs/>
          <w:color w:val="B5A500"/>
          <w:sz w:val="34"/>
          <w:szCs w:val="34"/>
          <w:u w:val="single"/>
          <w:rtl/>
          <w:lang w:bidi="ar-YE"/>
        </w:rPr>
      </w:pPr>
      <w:proofErr w:type="spellStart"/>
      <w:r w:rsidRPr="00652A79">
        <w:rPr>
          <w:rFonts w:ascii="DiwanMuna-Bold" w:eastAsiaTheme="minorEastAsia" w:cs="DiwanMuna-Bold" w:hint="cs"/>
          <w:b/>
          <w:bCs/>
          <w:color w:val="B5A500"/>
          <w:sz w:val="34"/>
          <w:szCs w:val="34"/>
          <w:u w:val="single"/>
          <w:rtl/>
          <w:lang w:bidi="ar-YE"/>
        </w:rPr>
        <w:t>الإخطارات</w:t>
      </w:r>
      <w:proofErr w:type="spellEnd"/>
      <w:r>
        <w:rPr>
          <w:rFonts w:ascii="DiwanMuna-Bold" w:eastAsiaTheme="minorEastAsia" w:cs="DiwanMuna-Bold" w:hint="cs"/>
          <w:b/>
          <w:bCs/>
          <w:color w:val="B5A500"/>
          <w:sz w:val="34"/>
          <w:szCs w:val="34"/>
          <w:u w:val="single"/>
          <w:rtl/>
          <w:lang w:bidi="ar-YE"/>
        </w:rPr>
        <w:t>:</w:t>
      </w:r>
    </w:p>
    <w:p w14:paraId="58FCC598" w14:textId="041499C5" w:rsidR="00E01C5A" w:rsidRPr="003052B2" w:rsidRDefault="00E01C5A" w:rsidP="004E6DA0">
      <w:pPr>
        <w:bidi/>
        <w:jc w:val="lowKashida"/>
        <w:rPr>
          <w:rFonts w:ascii="DiwanMuna-Bold" w:eastAsiaTheme="minorEastAsia" w:hAnsi="Calibri" w:cs="DiwanMuna-Bold"/>
          <w:b/>
          <w:bCs/>
          <w:color w:val="000059"/>
          <w:sz w:val="30"/>
          <w:szCs w:val="30"/>
          <w:rtl/>
          <w:lang w:bidi="ar-YE"/>
        </w:rPr>
      </w:pPr>
      <w:r w:rsidRPr="003052B2">
        <w:rPr>
          <w:rFonts w:ascii="DiwanMuna-Bold" w:eastAsiaTheme="minorEastAsia" w:hAnsi="Calibri" w:cs="DiwanMuna-Bold" w:hint="cs"/>
          <w:b/>
          <w:bCs/>
          <w:color w:val="000059"/>
          <w:sz w:val="30"/>
          <w:szCs w:val="30"/>
          <w:rtl/>
          <w:lang w:bidi="ar-YE"/>
        </w:rPr>
        <w:t xml:space="preserve">دون الإخلال بحكم المادة (11-14) من الكتاب الحادي عشر (التعامل في الأوراق المالية) لهذه اللائحة، تلتزم الشركة إخطار الهيئة قبل خمسة أيام عمل من تاريخ دعوة المستفيدين لممارسة حق خيار شراء الأسهم، على أن ترفق بالإخطار بيان يشتمل على المعلومات </w:t>
      </w:r>
      <w:r w:rsidR="004E6DA0">
        <w:rPr>
          <w:rFonts w:ascii="DiwanMuna-Bold" w:eastAsiaTheme="minorEastAsia" w:hAnsi="Calibri" w:cs="DiwanMuna-Bold" w:hint="cs"/>
          <w:b/>
          <w:bCs/>
          <w:color w:val="000059"/>
          <w:sz w:val="30"/>
          <w:szCs w:val="30"/>
          <w:rtl/>
          <w:lang w:bidi="ar-YE"/>
        </w:rPr>
        <w:t>المبينة</w:t>
      </w:r>
      <w:r w:rsidR="004E6DA0" w:rsidRPr="003052B2">
        <w:rPr>
          <w:rFonts w:ascii="DiwanMuna-Bold" w:eastAsiaTheme="minorEastAsia" w:hAnsi="Calibri" w:cs="DiwanMuna-Bold" w:hint="cs"/>
          <w:b/>
          <w:bCs/>
          <w:color w:val="000059"/>
          <w:sz w:val="30"/>
          <w:szCs w:val="30"/>
          <w:rtl/>
          <w:lang w:bidi="ar-YE"/>
        </w:rPr>
        <w:t xml:space="preserve"> </w:t>
      </w:r>
      <w:r w:rsidRPr="003052B2">
        <w:rPr>
          <w:rFonts w:ascii="DiwanMuna-Bold" w:eastAsiaTheme="minorEastAsia" w:hAnsi="Calibri" w:cs="DiwanMuna-Bold" w:hint="cs"/>
          <w:b/>
          <w:bCs/>
          <w:color w:val="000059"/>
          <w:sz w:val="30"/>
          <w:szCs w:val="30"/>
          <w:rtl/>
          <w:lang w:bidi="ar-YE"/>
        </w:rPr>
        <w:t xml:space="preserve">بالبند (ب) من إجراءات الموافقة على </w:t>
      </w:r>
      <w:r w:rsidR="00A44CE0">
        <w:rPr>
          <w:rFonts w:ascii="DiwanMuna-Bold" w:eastAsiaTheme="minorEastAsia" w:hAnsi="Calibri" w:cs="DiwanMuna-Bold" w:hint="cs"/>
          <w:b/>
          <w:bCs/>
          <w:color w:val="000059"/>
          <w:sz w:val="30"/>
          <w:szCs w:val="30"/>
          <w:rtl/>
          <w:lang w:bidi="ar-YE"/>
        </w:rPr>
        <w:t>نظام</w:t>
      </w:r>
      <w:r w:rsidRPr="003052B2">
        <w:rPr>
          <w:rFonts w:ascii="DiwanMuna-Bold" w:eastAsiaTheme="minorEastAsia" w:hAnsi="Calibri" w:cs="DiwanMuna-Bold" w:hint="cs"/>
          <w:b/>
          <w:bCs/>
          <w:color w:val="000059"/>
          <w:sz w:val="30"/>
          <w:szCs w:val="30"/>
          <w:rtl/>
          <w:lang w:bidi="ar-YE"/>
        </w:rPr>
        <w:t xml:space="preserve"> خيار شراء الأسهم للموظفين. </w:t>
      </w:r>
    </w:p>
    <w:sectPr w:rsidR="00E01C5A" w:rsidRPr="003052B2" w:rsidSect="009A77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72D2C" w14:textId="77777777" w:rsidR="00DE58B2" w:rsidRDefault="00DE58B2" w:rsidP="001F0E6A">
      <w:pPr>
        <w:spacing w:after="0" w:line="240" w:lineRule="auto"/>
      </w:pPr>
      <w:r>
        <w:separator/>
      </w:r>
    </w:p>
  </w:endnote>
  <w:endnote w:type="continuationSeparator" w:id="0">
    <w:p w14:paraId="00BA2536" w14:textId="77777777" w:rsidR="00DE58B2" w:rsidRDefault="00DE58B2" w:rsidP="001F0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80002007" w:usb1="80000000" w:usb2="00000008" w:usb3="00000000" w:csb0="000000D3" w:csb1="00000000"/>
  </w:font>
  <w:font w:name="Calibri">
    <w:panose1 w:val="020F0502020204030204"/>
    <w:charset w:val="00"/>
    <w:family w:val="swiss"/>
    <w:pitch w:val="variable"/>
    <w:sig w:usb0="E00002FF" w:usb1="4000ACFF" w:usb2="00000001" w:usb3="00000000" w:csb0="0000019F" w:csb1="00000000"/>
  </w:font>
  <w:font w:name="Diwani Bent">
    <w:panose1 w:val="0201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ohammad bold art 1">
    <w:panose1 w:val="00000000000000000000"/>
    <w:charset w:val="B2"/>
    <w:family w:val="auto"/>
    <w:pitch w:val="variable"/>
    <w:sig w:usb0="00002001" w:usb1="00000000" w:usb2="00000000" w:usb3="00000000" w:csb0="00000040" w:csb1="00000000"/>
  </w:font>
  <w:font w:name="DiwanMuna-Bold">
    <w:altName w:val="Times New Roman"/>
    <w:panose1 w:val="00000000000000000000"/>
    <w:charset w:val="B4"/>
    <w:family w:val="auto"/>
    <w:notTrueType/>
    <w:pitch w:val="default"/>
    <w:sig w:usb0="00000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DAF26" w14:textId="07D10714" w:rsidR="009A77F5" w:rsidRDefault="005F2639" w:rsidP="005F2639">
    <w:pPr>
      <w:pStyle w:val="Footer"/>
      <w:pBdr>
        <w:top w:val="single" w:sz="4" w:space="1" w:color="D9D9D9" w:themeColor="background1" w:themeShade="D9"/>
      </w:pBdr>
      <w:jc w:val="right"/>
    </w:pPr>
    <w:bookmarkStart w:id="1" w:name="DocumentMarkings1FooterEvenPages"/>
    <w:r>
      <w:t>CMA Data Classification: Internal</w:t>
    </w:r>
  </w:p>
  <w:bookmarkEnd w:id="1" w:displacedByCustomXml="next"/>
  <w:sdt>
    <w:sdtPr>
      <w:id w:val="-1071882302"/>
      <w:docPartObj>
        <w:docPartGallery w:val="Page Numbers (Bottom of Page)"/>
        <w:docPartUnique/>
      </w:docPartObj>
    </w:sdtPr>
    <w:sdtEndPr>
      <w:rPr>
        <w:color w:val="7F7F7F" w:themeColor="background1" w:themeShade="7F"/>
        <w:spacing w:val="60"/>
      </w:rPr>
    </w:sdtEndPr>
    <w:sdtContent>
      <w:p w14:paraId="11052F95" w14:textId="18542CA8" w:rsidR="009A77F5" w:rsidRDefault="009A77F5" w:rsidP="009A77F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51088" w:rsidRPr="00651088">
          <w:rPr>
            <w:b/>
            <w:bCs/>
            <w:noProof/>
          </w:rPr>
          <w:t>4</w:t>
        </w:r>
        <w:r>
          <w:rPr>
            <w:b/>
            <w:bCs/>
            <w:noProof/>
          </w:rPr>
          <w:fldChar w:fldCharType="end"/>
        </w:r>
        <w:r>
          <w:rPr>
            <w:b/>
            <w:bCs/>
          </w:rPr>
          <w:t xml:space="preserve"> | </w:t>
        </w:r>
        <w:r>
          <w:rPr>
            <w:color w:val="7F7F7F" w:themeColor="background1" w:themeShade="7F"/>
            <w:spacing w:val="60"/>
          </w:rPr>
          <w:t>Page</w:t>
        </w:r>
      </w:p>
    </w:sdtContent>
  </w:sdt>
  <w:p w14:paraId="0EFF1477" w14:textId="77777777" w:rsidR="009A77F5" w:rsidRDefault="009A77F5" w:rsidP="009A77F5">
    <w:pPr>
      <w:pStyle w:val="Footer"/>
    </w:pPr>
  </w:p>
  <w:p w14:paraId="6AC0C895" w14:textId="77777777" w:rsidR="009A77F5" w:rsidRDefault="009A77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12801" w14:textId="56F7F8C5" w:rsidR="009A77F5" w:rsidRDefault="005F2639" w:rsidP="005F2639">
    <w:pPr>
      <w:pStyle w:val="Footer"/>
      <w:pBdr>
        <w:top w:val="single" w:sz="4" w:space="1" w:color="D9D9D9" w:themeColor="background1" w:themeShade="D9"/>
      </w:pBdr>
      <w:jc w:val="right"/>
    </w:pPr>
    <w:bookmarkStart w:id="2" w:name="DocumentMarkings1FooterPrimary"/>
    <w:r>
      <w:t>CMA Data Classification: Internal</w:t>
    </w:r>
  </w:p>
  <w:bookmarkEnd w:id="2" w:displacedByCustomXml="next"/>
  <w:sdt>
    <w:sdtPr>
      <w:id w:val="1567305387"/>
      <w:docPartObj>
        <w:docPartGallery w:val="Page Numbers (Bottom of Page)"/>
        <w:docPartUnique/>
      </w:docPartObj>
    </w:sdtPr>
    <w:sdtEndPr>
      <w:rPr>
        <w:color w:val="7F7F7F" w:themeColor="background1" w:themeShade="7F"/>
        <w:spacing w:val="60"/>
      </w:rPr>
    </w:sdtEndPr>
    <w:sdtContent>
      <w:p w14:paraId="0BA867FD" w14:textId="3A889D66" w:rsidR="002E079F" w:rsidRDefault="002E079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51088" w:rsidRPr="00651088">
          <w:rPr>
            <w:b/>
            <w:bCs/>
            <w:noProof/>
          </w:rPr>
          <w:t>3</w:t>
        </w:r>
        <w:r>
          <w:rPr>
            <w:b/>
            <w:bCs/>
            <w:noProof/>
          </w:rPr>
          <w:fldChar w:fldCharType="end"/>
        </w:r>
        <w:r>
          <w:rPr>
            <w:b/>
            <w:bCs/>
          </w:rPr>
          <w:t xml:space="preserve"> | </w:t>
        </w:r>
        <w:r>
          <w:rPr>
            <w:color w:val="7F7F7F" w:themeColor="background1" w:themeShade="7F"/>
            <w:spacing w:val="60"/>
          </w:rPr>
          <w:t>Page</w:t>
        </w:r>
      </w:p>
    </w:sdtContent>
  </w:sdt>
  <w:p w14:paraId="56AA07AC" w14:textId="77777777" w:rsidR="001F0E6A" w:rsidRDefault="001F0E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64BAF" w14:textId="6EA4FB91" w:rsidR="009A77F5" w:rsidRDefault="005F2639" w:rsidP="005F2639">
    <w:pPr>
      <w:pStyle w:val="Footer"/>
      <w:jc w:val="right"/>
    </w:pPr>
    <w:bookmarkStart w:id="3" w:name="DocumentMarkings1FooterFirstPage"/>
    <w:r>
      <w:t>CMA Data Classification: Internal</w:t>
    </w:r>
  </w:p>
  <w:bookmarkEnd w:id="3"/>
  <w:p w14:paraId="0C52338C" w14:textId="77777777" w:rsidR="009A77F5" w:rsidRDefault="009A7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82F83" w14:textId="77777777" w:rsidR="00DE58B2" w:rsidRDefault="00DE58B2" w:rsidP="001F0E6A">
      <w:pPr>
        <w:spacing w:after="0" w:line="240" w:lineRule="auto"/>
      </w:pPr>
      <w:r>
        <w:separator/>
      </w:r>
    </w:p>
  </w:footnote>
  <w:footnote w:type="continuationSeparator" w:id="0">
    <w:p w14:paraId="666BCD13" w14:textId="77777777" w:rsidR="00DE58B2" w:rsidRDefault="00DE58B2" w:rsidP="001F0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ED5C5" w14:textId="77777777" w:rsidR="009A77F5" w:rsidRDefault="009A77F5" w:rsidP="009A77F5">
    <w:pPr>
      <w:pStyle w:val="Header"/>
    </w:pPr>
  </w:p>
  <w:p w14:paraId="4E7BB697" w14:textId="77777777" w:rsidR="009A77F5" w:rsidRDefault="009A77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7A0CE" w14:textId="77777777" w:rsidR="00744993" w:rsidRDefault="007449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38552" w14:textId="77777777" w:rsidR="00744993" w:rsidRDefault="00744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6C12"/>
    <w:multiLevelType w:val="hybridMultilevel"/>
    <w:tmpl w:val="D9FAEE9A"/>
    <w:lvl w:ilvl="0" w:tplc="E334D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F3D4A"/>
    <w:multiLevelType w:val="hybridMultilevel"/>
    <w:tmpl w:val="EEDE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06E86"/>
    <w:multiLevelType w:val="hybridMultilevel"/>
    <w:tmpl w:val="437435A2"/>
    <w:lvl w:ilvl="0" w:tplc="64AC9D62">
      <w:start w:val="3"/>
      <w:numFmt w:val="bullet"/>
      <w:lvlText w:val="-"/>
      <w:lvlJc w:val="left"/>
      <w:pPr>
        <w:ind w:left="1080" w:hanging="360"/>
      </w:pPr>
      <w:rPr>
        <w:rFonts w:ascii="Sakkal Majalla" w:eastAsiaTheme="minorHAnsi" w:hAnsi="Sakkal Majalla" w:cs="Sakkal Majalla"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F759B8"/>
    <w:multiLevelType w:val="hybridMultilevel"/>
    <w:tmpl w:val="0218ACBC"/>
    <w:lvl w:ilvl="0" w:tplc="CF9AD9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14735E"/>
    <w:multiLevelType w:val="hybridMultilevel"/>
    <w:tmpl w:val="5F689AE0"/>
    <w:lvl w:ilvl="0" w:tplc="8902A8E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473A1B"/>
    <w:multiLevelType w:val="hybridMultilevel"/>
    <w:tmpl w:val="88B88F54"/>
    <w:lvl w:ilvl="0" w:tplc="EA1CB5A2">
      <w:numFmt w:val="bullet"/>
      <w:lvlText w:val="-"/>
      <w:lvlJc w:val="left"/>
      <w:pPr>
        <w:ind w:left="720" w:hanging="360"/>
      </w:pPr>
      <w:rPr>
        <w:rFonts w:ascii="Sakkal Majalla" w:eastAsiaTheme="minorHAnsi" w:hAnsi="Sakkal Majalla" w:cs="Sakkal Majall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A13A9"/>
    <w:multiLevelType w:val="hybridMultilevel"/>
    <w:tmpl w:val="D40687FE"/>
    <w:lvl w:ilvl="0" w:tplc="477CEB8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257BF2"/>
    <w:multiLevelType w:val="hybridMultilevel"/>
    <w:tmpl w:val="91DADF4C"/>
    <w:lvl w:ilvl="0" w:tplc="113ECE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0DE"/>
    <w:multiLevelType w:val="hybridMultilevel"/>
    <w:tmpl w:val="7FC64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C7DDE"/>
    <w:multiLevelType w:val="hybridMultilevel"/>
    <w:tmpl w:val="DE7CCA10"/>
    <w:lvl w:ilvl="0" w:tplc="2856C83C">
      <w:numFmt w:val="bullet"/>
      <w:lvlText w:val="-"/>
      <w:lvlJc w:val="left"/>
      <w:pPr>
        <w:ind w:left="360" w:hanging="360"/>
      </w:pPr>
      <w:rPr>
        <w:rFonts w:ascii="Sakkal Majalla" w:eastAsia="Times New Roman" w:hAnsi="Sakkal Majalla" w:cs="Sakkal Majalla" w:hint="default"/>
        <w:lang w:bidi="ar-KW"/>
      </w:rPr>
    </w:lvl>
    <w:lvl w:ilvl="1" w:tplc="04090003">
      <w:start w:val="1"/>
      <w:numFmt w:val="bullet"/>
      <w:lvlText w:val="o"/>
      <w:lvlJc w:val="left"/>
      <w:pPr>
        <w:ind w:left="1080" w:hanging="360"/>
      </w:pPr>
      <w:rPr>
        <w:rFonts w:ascii="Courier New" w:hAnsi="Courier New" w:cs="Courier New" w:hint="default"/>
      </w:rPr>
    </w:lvl>
    <w:lvl w:ilvl="2" w:tplc="2856C83C">
      <w:numFmt w:val="bullet"/>
      <w:lvlText w:val="-"/>
      <w:lvlJc w:val="left"/>
      <w:pPr>
        <w:ind w:left="1800" w:hanging="360"/>
      </w:pPr>
      <w:rPr>
        <w:rFonts w:ascii="Sakkal Majalla" w:eastAsia="Times New Roman" w:hAnsi="Sakkal Majalla" w:cs="Sakkal Majalla" w:hint="default"/>
        <w:lang w:bidi="ar-KW"/>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063692"/>
    <w:multiLevelType w:val="hybridMultilevel"/>
    <w:tmpl w:val="34D05CE6"/>
    <w:lvl w:ilvl="0" w:tplc="C4EC24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71472"/>
    <w:multiLevelType w:val="hybridMultilevel"/>
    <w:tmpl w:val="A7D4DD22"/>
    <w:lvl w:ilvl="0" w:tplc="9678E2B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C52D6F"/>
    <w:multiLevelType w:val="hybridMultilevel"/>
    <w:tmpl w:val="988C97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05702A"/>
    <w:multiLevelType w:val="hybridMultilevel"/>
    <w:tmpl w:val="A6301800"/>
    <w:lvl w:ilvl="0" w:tplc="A4783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43238C"/>
    <w:multiLevelType w:val="hybridMultilevel"/>
    <w:tmpl w:val="96A271E8"/>
    <w:lvl w:ilvl="0" w:tplc="9760D7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94323A2"/>
    <w:multiLevelType w:val="hybridMultilevel"/>
    <w:tmpl w:val="24BED1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46702F"/>
    <w:multiLevelType w:val="hybridMultilevel"/>
    <w:tmpl w:val="20C48616"/>
    <w:lvl w:ilvl="0" w:tplc="0370495E">
      <w:start w:val="3"/>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D64344"/>
    <w:multiLevelType w:val="hybridMultilevel"/>
    <w:tmpl w:val="13E49A56"/>
    <w:lvl w:ilvl="0" w:tplc="81F4E1AC">
      <w:start w:val="1"/>
      <w:numFmt w:val="decimal"/>
      <w:lvlText w:val="%1."/>
      <w:lvlJc w:val="left"/>
      <w:pPr>
        <w:ind w:left="810" w:hanging="360"/>
      </w:pPr>
      <w:rPr>
        <w:rFonts w:cs="Diwani Bent" w:hint="default"/>
        <w:b/>
        <w:bCs/>
        <w:sz w:val="30"/>
        <w:szCs w:val="3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51B082F"/>
    <w:multiLevelType w:val="hybridMultilevel"/>
    <w:tmpl w:val="03924456"/>
    <w:lvl w:ilvl="0" w:tplc="D63410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075561"/>
    <w:multiLevelType w:val="hybridMultilevel"/>
    <w:tmpl w:val="6A90A1B2"/>
    <w:lvl w:ilvl="0" w:tplc="1AC45B9C">
      <w:start w:val="1"/>
      <w:numFmt w:val="arabicAlpha"/>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5033DF"/>
    <w:multiLevelType w:val="hybridMultilevel"/>
    <w:tmpl w:val="5F8A8C4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15:restartNumberingAfterBreak="0">
    <w:nsid w:val="7E1010A4"/>
    <w:multiLevelType w:val="hybridMultilevel"/>
    <w:tmpl w:val="760ADFEE"/>
    <w:lvl w:ilvl="0" w:tplc="5AC46D3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0"/>
  </w:num>
  <w:num w:numId="3">
    <w:abstractNumId w:val="4"/>
  </w:num>
  <w:num w:numId="4">
    <w:abstractNumId w:val="16"/>
  </w:num>
  <w:num w:numId="5">
    <w:abstractNumId w:val="2"/>
  </w:num>
  <w:num w:numId="6">
    <w:abstractNumId w:val="5"/>
  </w:num>
  <w:num w:numId="7">
    <w:abstractNumId w:val="10"/>
  </w:num>
  <w:num w:numId="8">
    <w:abstractNumId w:val="14"/>
  </w:num>
  <w:num w:numId="9">
    <w:abstractNumId w:val="20"/>
  </w:num>
  <w:num w:numId="10">
    <w:abstractNumId w:val="12"/>
  </w:num>
  <w:num w:numId="11">
    <w:abstractNumId w:val="3"/>
  </w:num>
  <w:num w:numId="12">
    <w:abstractNumId w:val="1"/>
  </w:num>
  <w:num w:numId="13">
    <w:abstractNumId w:val="19"/>
  </w:num>
  <w:num w:numId="14">
    <w:abstractNumId w:val="17"/>
  </w:num>
  <w:num w:numId="15">
    <w:abstractNumId w:val="7"/>
  </w:num>
  <w:num w:numId="16">
    <w:abstractNumId w:val="15"/>
  </w:num>
  <w:num w:numId="17">
    <w:abstractNumId w:val="8"/>
  </w:num>
  <w:num w:numId="18">
    <w:abstractNumId w:val="9"/>
  </w:num>
  <w:num w:numId="19">
    <w:abstractNumId w:val="6"/>
  </w:num>
  <w:num w:numId="20">
    <w:abstractNumId w:val="21"/>
  </w:num>
  <w:num w:numId="21">
    <w:abstractNumId w:val="1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FF2"/>
    <w:rsid w:val="00003982"/>
    <w:rsid w:val="000116EC"/>
    <w:rsid w:val="000155AC"/>
    <w:rsid w:val="0002075A"/>
    <w:rsid w:val="00024BC9"/>
    <w:rsid w:val="00034EFD"/>
    <w:rsid w:val="00037AC5"/>
    <w:rsid w:val="00043E74"/>
    <w:rsid w:val="000462CA"/>
    <w:rsid w:val="00055FAA"/>
    <w:rsid w:val="00057188"/>
    <w:rsid w:val="000644D2"/>
    <w:rsid w:val="00066FA9"/>
    <w:rsid w:val="000720F2"/>
    <w:rsid w:val="00072368"/>
    <w:rsid w:val="000842E9"/>
    <w:rsid w:val="00085F33"/>
    <w:rsid w:val="000939FE"/>
    <w:rsid w:val="000A11EE"/>
    <w:rsid w:val="000A1A9C"/>
    <w:rsid w:val="000A37AB"/>
    <w:rsid w:val="000A3D86"/>
    <w:rsid w:val="000A6587"/>
    <w:rsid w:val="000A6B7C"/>
    <w:rsid w:val="000B1E1C"/>
    <w:rsid w:val="000B225E"/>
    <w:rsid w:val="000C49A6"/>
    <w:rsid w:val="000D01A8"/>
    <w:rsid w:val="000D119C"/>
    <w:rsid w:val="000D4337"/>
    <w:rsid w:val="000E03FE"/>
    <w:rsid w:val="000F5EF9"/>
    <w:rsid w:val="000F7B2B"/>
    <w:rsid w:val="00102B2E"/>
    <w:rsid w:val="00116599"/>
    <w:rsid w:val="00131FA1"/>
    <w:rsid w:val="00133EE0"/>
    <w:rsid w:val="00134B05"/>
    <w:rsid w:val="00137FAE"/>
    <w:rsid w:val="0015023E"/>
    <w:rsid w:val="0015315C"/>
    <w:rsid w:val="001625BB"/>
    <w:rsid w:val="0016430E"/>
    <w:rsid w:val="00166B0C"/>
    <w:rsid w:val="001722A3"/>
    <w:rsid w:val="001724A3"/>
    <w:rsid w:val="0017284A"/>
    <w:rsid w:val="00172C28"/>
    <w:rsid w:val="00174BFF"/>
    <w:rsid w:val="00174ED1"/>
    <w:rsid w:val="0017606A"/>
    <w:rsid w:val="00182D35"/>
    <w:rsid w:val="001860F4"/>
    <w:rsid w:val="0019124B"/>
    <w:rsid w:val="001920EE"/>
    <w:rsid w:val="00193BDD"/>
    <w:rsid w:val="00194023"/>
    <w:rsid w:val="001B002D"/>
    <w:rsid w:val="001B0C86"/>
    <w:rsid w:val="001B3D3A"/>
    <w:rsid w:val="001C5D29"/>
    <w:rsid w:val="001D22D7"/>
    <w:rsid w:val="001E4A94"/>
    <w:rsid w:val="001F0E6A"/>
    <w:rsid w:val="001F5924"/>
    <w:rsid w:val="00200603"/>
    <w:rsid w:val="00213F7F"/>
    <w:rsid w:val="00220289"/>
    <w:rsid w:val="00235C6D"/>
    <w:rsid w:val="0024604E"/>
    <w:rsid w:val="0024609B"/>
    <w:rsid w:val="00250C95"/>
    <w:rsid w:val="0026464B"/>
    <w:rsid w:val="002714D2"/>
    <w:rsid w:val="00273501"/>
    <w:rsid w:val="00282EDB"/>
    <w:rsid w:val="00283CF2"/>
    <w:rsid w:val="002855CF"/>
    <w:rsid w:val="00286D2D"/>
    <w:rsid w:val="00287FFC"/>
    <w:rsid w:val="0029379B"/>
    <w:rsid w:val="0029750D"/>
    <w:rsid w:val="002A59C0"/>
    <w:rsid w:val="002C1ABF"/>
    <w:rsid w:val="002D0E47"/>
    <w:rsid w:val="002E079F"/>
    <w:rsid w:val="002E1DDD"/>
    <w:rsid w:val="002E69E0"/>
    <w:rsid w:val="002F048F"/>
    <w:rsid w:val="002F0D13"/>
    <w:rsid w:val="003052B2"/>
    <w:rsid w:val="003055B0"/>
    <w:rsid w:val="00306E5C"/>
    <w:rsid w:val="0031237D"/>
    <w:rsid w:val="0031544E"/>
    <w:rsid w:val="00340476"/>
    <w:rsid w:val="00340745"/>
    <w:rsid w:val="00344AB7"/>
    <w:rsid w:val="00347496"/>
    <w:rsid w:val="00350715"/>
    <w:rsid w:val="003538E5"/>
    <w:rsid w:val="003539F1"/>
    <w:rsid w:val="00353C0F"/>
    <w:rsid w:val="003613A3"/>
    <w:rsid w:val="0037498B"/>
    <w:rsid w:val="00386930"/>
    <w:rsid w:val="003912FB"/>
    <w:rsid w:val="00391806"/>
    <w:rsid w:val="00393E80"/>
    <w:rsid w:val="00394E5D"/>
    <w:rsid w:val="003A4173"/>
    <w:rsid w:val="003A738A"/>
    <w:rsid w:val="003B06BF"/>
    <w:rsid w:val="003B5CF6"/>
    <w:rsid w:val="003C3BCE"/>
    <w:rsid w:val="003C74B8"/>
    <w:rsid w:val="003E6CC0"/>
    <w:rsid w:val="003F38CC"/>
    <w:rsid w:val="00402B96"/>
    <w:rsid w:val="00412EF3"/>
    <w:rsid w:val="00414658"/>
    <w:rsid w:val="00420CA6"/>
    <w:rsid w:val="00424CB2"/>
    <w:rsid w:val="00425511"/>
    <w:rsid w:val="0043304F"/>
    <w:rsid w:val="0043615E"/>
    <w:rsid w:val="00437090"/>
    <w:rsid w:val="00440019"/>
    <w:rsid w:val="00447BD8"/>
    <w:rsid w:val="00455FB4"/>
    <w:rsid w:val="004665C6"/>
    <w:rsid w:val="00482D27"/>
    <w:rsid w:val="004A50E4"/>
    <w:rsid w:val="004A7257"/>
    <w:rsid w:val="004B4B14"/>
    <w:rsid w:val="004C0F54"/>
    <w:rsid w:val="004C5543"/>
    <w:rsid w:val="004D1728"/>
    <w:rsid w:val="004D18E7"/>
    <w:rsid w:val="004E6DA0"/>
    <w:rsid w:val="00504702"/>
    <w:rsid w:val="00512E1F"/>
    <w:rsid w:val="00514335"/>
    <w:rsid w:val="005159C9"/>
    <w:rsid w:val="00522319"/>
    <w:rsid w:val="00543890"/>
    <w:rsid w:val="00543B98"/>
    <w:rsid w:val="0055180B"/>
    <w:rsid w:val="0055221B"/>
    <w:rsid w:val="005668DF"/>
    <w:rsid w:val="005826E7"/>
    <w:rsid w:val="005956C7"/>
    <w:rsid w:val="005A215A"/>
    <w:rsid w:val="005A22F4"/>
    <w:rsid w:val="005B703C"/>
    <w:rsid w:val="005D40FE"/>
    <w:rsid w:val="005E4699"/>
    <w:rsid w:val="005F2639"/>
    <w:rsid w:val="005F2F0A"/>
    <w:rsid w:val="005F3683"/>
    <w:rsid w:val="005F5EFB"/>
    <w:rsid w:val="005F73D2"/>
    <w:rsid w:val="00602F33"/>
    <w:rsid w:val="006048D8"/>
    <w:rsid w:val="00610B35"/>
    <w:rsid w:val="00612DFD"/>
    <w:rsid w:val="00613342"/>
    <w:rsid w:val="00614525"/>
    <w:rsid w:val="00630D9C"/>
    <w:rsid w:val="00651088"/>
    <w:rsid w:val="00652A79"/>
    <w:rsid w:val="0066193F"/>
    <w:rsid w:val="00661BAC"/>
    <w:rsid w:val="00665941"/>
    <w:rsid w:val="0066773D"/>
    <w:rsid w:val="00673295"/>
    <w:rsid w:val="00677E0A"/>
    <w:rsid w:val="00680498"/>
    <w:rsid w:val="0068510C"/>
    <w:rsid w:val="00686FF2"/>
    <w:rsid w:val="006973B1"/>
    <w:rsid w:val="006A1843"/>
    <w:rsid w:val="006B0FBA"/>
    <w:rsid w:val="006B33DF"/>
    <w:rsid w:val="006B5224"/>
    <w:rsid w:val="006B5CD8"/>
    <w:rsid w:val="006C1CEC"/>
    <w:rsid w:val="006D2071"/>
    <w:rsid w:val="006D5A57"/>
    <w:rsid w:val="006E0C9B"/>
    <w:rsid w:val="006E23B2"/>
    <w:rsid w:val="006E73B8"/>
    <w:rsid w:val="006F3665"/>
    <w:rsid w:val="00701418"/>
    <w:rsid w:val="007051C6"/>
    <w:rsid w:val="00711749"/>
    <w:rsid w:val="0071572C"/>
    <w:rsid w:val="00715B7A"/>
    <w:rsid w:val="007211EB"/>
    <w:rsid w:val="00721B3E"/>
    <w:rsid w:val="00721E8A"/>
    <w:rsid w:val="0072724C"/>
    <w:rsid w:val="00732890"/>
    <w:rsid w:val="00736D37"/>
    <w:rsid w:val="00744993"/>
    <w:rsid w:val="00760BB9"/>
    <w:rsid w:val="00770D71"/>
    <w:rsid w:val="00786FE7"/>
    <w:rsid w:val="00790E27"/>
    <w:rsid w:val="00796E40"/>
    <w:rsid w:val="007B2AD6"/>
    <w:rsid w:val="007C0E1B"/>
    <w:rsid w:val="007C6B22"/>
    <w:rsid w:val="007D5988"/>
    <w:rsid w:val="007E10E4"/>
    <w:rsid w:val="007E210D"/>
    <w:rsid w:val="007E791C"/>
    <w:rsid w:val="00816680"/>
    <w:rsid w:val="008202EA"/>
    <w:rsid w:val="00826604"/>
    <w:rsid w:val="008368D9"/>
    <w:rsid w:val="00840D7F"/>
    <w:rsid w:val="00840EA9"/>
    <w:rsid w:val="00851A43"/>
    <w:rsid w:val="008541C5"/>
    <w:rsid w:val="00860BAB"/>
    <w:rsid w:val="0086305A"/>
    <w:rsid w:val="0086542E"/>
    <w:rsid w:val="008734E0"/>
    <w:rsid w:val="00876353"/>
    <w:rsid w:val="00890E79"/>
    <w:rsid w:val="00893236"/>
    <w:rsid w:val="0089591F"/>
    <w:rsid w:val="00896D39"/>
    <w:rsid w:val="008A316E"/>
    <w:rsid w:val="008A7009"/>
    <w:rsid w:val="008B0487"/>
    <w:rsid w:val="008B0A8A"/>
    <w:rsid w:val="008B1879"/>
    <w:rsid w:val="008B38D7"/>
    <w:rsid w:val="008B39E3"/>
    <w:rsid w:val="008B47CC"/>
    <w:rsid w:val="008B7C5F"/>
    <w:rsid w:val="008C13F3"/>
    <w:rsid w:val="008C1B98"/>
    <w:rsid w:val="008D264A"/>
    <w:rsid w:val="008D2C42"/>
    <w:rsid w:val="008D42BF"/>
    <w:rsid w:val="008D5DCD"/>
    <w:rsid w:val="008D7ED6"/>
    <w:rsid w:val="008E0217"/>
    <w:rsid w:val="008E1963"/>
    <w:rsid w:val="008E383E"/>
    <w:rsid w:val="008E7F0C"/>
    <w:rsid w:val="008F165C"/>
    <w:rsid w:val="008F5D1B"/>
    <w:rsid w:val="008F63DC"/>
    <w:rsid w:val="009022A7"/>
    <w:rsid w:val="009028BE"/>
    <w:rsid w:val="00902968"/>
    <w:rsid w:val="00904EE1"/>
    <w:rsid w:val="00913F1E"/>
    <w:rsid w:val="0092706F"/>
    <w:rsid w:val="00932898"/>
    <w:rsid w:val="00932CBC"/>
    <w:rsid w:val="00940ED9"/>
    <w:rsid w:val="0096422F"/>
    <w:rsid w:val="00970AB7"/>
    <w:rsid w:val="009866C5"/>
    <w:rsid w:val="00986788"/>
    <w:rsid w:val="00993E6D"/>
    <w:rsid w:val="009A2F52"/>
    <w:rsid w:val="009A30F6"/>
    <w:rsid w:val="009A4B1C"/>
    <w:rsid w:val="009A77F5"/>
    <w:rsid w:val="009B169A"/>
    <w:rsid w:val="009B7C5A"/>
    <w:rsid w:val="009C677A"/>
    <w:rsid w:val="009D0812"/>
    <w:rsid w:val="009D3677"/>
    <w:rsid w:val="009D63A5"/>
    <w:rsid w:val="009D72CD"/>
    <w:rsid w:val="009E0ACD"/>
    <w:rsid w:val="009E17EF"/>
    <w:rsid w:val="009E3B8B"/>
    <w:rsid w:val="009E5343"/>
    <w:rsid w:val="009E66D1"/>
    <w:rsid w:val="009F3EC4"/>
    <w:rsid w:val="009F46B8"/>
    <w:rsid w:val="00A0319F"/>
    <w:rsid w:val="00A05A27"/>
    <w:rsid w:val="00A05E6D"/>
    <w:rsid w:val="00A11AB5"/>
    <w:rsid w:val="00A13C75"/>
    <w:rsid w:val="00A2766F"/>
    <w:rsid w:val="00A279A6"/>
    <w:rsid w:val="00A40581"/>
    <w:rsid w:val="00A4133D"/>
    <w:rsid w:val="00A44CE0"/>
    <w:rsid w:val="00A506B6"/>
    <w:rsid w:val="00A6540E"/>
    <w:rsid w:val="00A7038B"/>
    <w:rsid w:val="00A707CD"/>
    <w:rsid w:val="00A72C67"/>
    <w:rsid w:val="00A73173"/>
    <w:rsid w:val="00A7465D"/>
    <w:rsid w:val="00A751A4"/>
    <w:rsid w:val="00A81165"/>
    <w:rsid w:val="00A919DA"/>
    <w:rsid w:val="00A93C59"/>
    <w:rsid w:val="00AA69BD"/>
    <w:rsid w:val="00AB7292"/>
    <w:rsid w:val="00AB757B"/>
    <w:rsid w:val="00AB7A86"/>
    <w:rsid w:val="00AD5E1E"/>
    <w:rsid w:val="00AD688F"/>
    <w:rsid w:val="00AD6A7F"/>
    <w:rsid w:val="00AE15DE"/>
    <w:rsid w:val="00B015D7"/>
    <w:rsid w:val="00B11C43"/>
    <w:rsid w:val="00B14B6D"/>
    <w:rsid w:val="00B231BD"/>
    <w:rsid w:val="00B26F60"/>
    <w:rsid w:val="00B3288B"/>
    <w:rsid w:val="00B360FE"/>
    <w:rsid w:val="00B377D2"/>
    <w:rsid w:val="00B37B8F"/>
    <w:rsid w:val="00B51415"/>
    <w:rsid w:val="00B53855"/>
    <w:rsid w:val="00B55ACE"/>
    <w:rsid w:val="00B7269D"/>
    <w:rsid w:val="00B740FC"/>
    <w:rsid w:val="00B77657"/>
    <w:rsid w:val="00B959B1"/>
    <w:rsid w:val="00B97E83"/>
    <w:rsid w:val="00B97F92"/>
    <w:rsid w:val="00BA3153"/>
    <w:rsid w:val="00BA7146"/>
    <w:rsid w:val="00BB2F28"/>
    <w:rsid w:val="00BB31A3"/>
    <w:rsid w:val="00BB594B"/>
    <w:rsid w:val="00BE0ABD"/>
    <w:rsid w:val="00BE34F0"/>
    <w:rsid w:val="00BE640D"/>
    <w:rsid w:val="00BF1CE3"/>
    <w:rsid w:val="00BF55BC"/>
    <w:rsid w:val="00C065C7"/>
    <w:rsid w:val="00C07E1C"/>
    <w:rsid w:val="00C106AA"/>
    <w:rsid w:val="00C209F2"/>
    <w:rsid w:val="00C25640"/>
    <w:rsid w:val="00C4643D"/>
    <w:rsid w:val="00C56AFE"/>
    <w:rsid w:val="00C60AF6"/>
    <w:rsid w:val="00C6564A"/>
    <w:rsid w:val="00C74D13"/>
    <w:rsid w:val="00C75AF2"/>
    <w:rsid w:val="00C801BF"/>
    <w:rsid w:val="00C82FC7"/>
    <w:rsid w:val="00C85484"/>
    <w:rsid w:val="00C875A7"/>
    <w:rsid w:val="00C918A8"/>
    <w:rsid w:val="00C94349"/>
    <w:rsid w:val="00CA3068"/>
    <w:rsid w:val="00CB3CC3"/>
    <w:rsid w:val="00CB59A8"/>
    <w:rsid w:val="00CC2C07"/>
    <w:rsid w:val="00CC4D7E"/>
    <w:rsid w:val="00CC52A5"/>
    <w:rsid w:val="00CD2090"/>
    <w:rsid w:val="00CD4EDC"/>
    <w:rsid w:val="00CD6877"/>
    <w:rsid w:val="00CD7E6B"/>
    <w:rsid w:val="00CE08BE"/>
    <w:rsid w:val="00CE28E7"/>
    <w:rsid w:val="00CE37FB"/>
    <w:rsid w:val="00CE4D23"/>
    <w:rsid w:val="00CF64D4"/>
    <w:rsid w:val="00CF7101"/>
    <w:rsid w:val="00D02913"/>
    <w:rsid w:val="00D1174A"/>
    <w:rsid w:val="00D13AE8"/>
    <w:rsid w:val="00D14C8E"/>
    <w:rsid w:val="00D2422D"/>
    <w:rsid w:val="00D27831"/>
    <w:rsid w:val="00D305DC"/>
    <w:rsid w:val="00D34A95"/>
    <w:rsid w:val="00D4199B"/>
    <w:rsid w:val="00D5541B"/>
    <w:rsid w:val="00D576D0"/>
    <w:rsid w:val="00D64F39"/>
    <w:rsid w:val="00D670D5"/>
    <w:rsid w:val="00D7358C"/>
    <w:rsid w:val="00D73A16"/>
    <w:rsid w:val="00D74D28"/>
    <w:rsid w:val="00D954A2"/>
    <w:rsid w:val="00DA37A2"/>
    <w:rsid w:val="00DD2645"/>
    <w:rsid w:val="00DD7EDA"/>
    <w:rsid w:val="00DE16C2"/>
    <w:rsid w:val="00DE58B2"/>
    <w:rsid w:val="00DE63BA"/>
    <w:rsid w:val="00DF5441"/>
    <w:rsid w:val="00DF67DD"/>
    <w:rsid w:val="00E0177C"/>
    <w:rsid w:val="00E01C5A"/>
    <w:rsid w:val="00E02A66"/>
    <w:rsid w:val="00E07005"/>
    <w:rsid w:val="00E205B2"/>
    <w:rsid w:val="00E20773"/>
    <w:rsid w:val="00E227D3"/>
    <w:rsid w:val="00E25867"/>
    <w:rsid w:val="00E34ECD"/>
    <w:rsid w:val="00E44012"/>
    <w:rsid w:val="00E45687"/>
    <w:rsid w:val="00E52EC1"/>
    <w:rsid w:val="00E54883"/>
    <w:rsid w:val="00E603A2"/>
    <w:rsid w:val="00E63F65"/>
    <w:rsid w:val="00E70E63"/>
    <w:rsid w:val="00E80B62"/>
    <w:rsid w:val="00E8224B"/>
    <w:rsid w:val="00E86267"/>
    <w:rsid w:val="00E909FA"/>
    <w:rsid w:val="00E9402C"/>
    <w:rsid w:val="00EA4DFD"/>
    <w:rsid w:val="00EA6D68"/>
    <w:rsid w:val="00EC4D1D"/>
    <w:rsid w:val="00ED0ABD"/>
    <w:rsid w:val="00ED1182"/>
    <w:rsid w:val="00EF0FBE"/>
    <w:rsid w:val="00F01A8A"/>
    <w:rsid w:val="00F07BD7"/>
    <w:rsid w:val="00F11C3E"/>
    <w:rsid w:val="00F15259"/>
    <w:rsid w:val="00F20199"/>
    <w:rsid w:val="00F223B1"/>
    <w:rsid w:val="00F2536D"/>
    <w:rsid w:val="00F30DDA"/>
    <w:rsid w:val="00F3288E"/>
    <w:rsid w:val="00F50F44"/>
    <w:rsid w:val="00F65BD3"/>
    <w:rsid w:val="00F65E48"/>
    <w:rsid w:val="00F716DA"/>
    <w:rsid w:val="00F77637"/>
    <w:rsid w:val="00F83567"/>
    <w:rsid w:val="00F92159"/>
    <w:rsid w:val="00FA51EA"/>
    <w:rsid w:val="00FA686A"/>
    <w:rsid w:val="00FB6550"/>
    <w:rsid w:val="00FD0536"/>
    <w:rsid w:val="00FD266D"/>
    <w:rsid w:val="00FE0E30"/>
    <w:rsid w:val="00FE381B"/>
    <w:rsid w:val="00FE4097"/>
    <w:rsid w:val="00FF5C4C"/>
    <w:rsid w:val="00FF7A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8AB3B"/>
  <w15:chartTrackingRefBased/>
  <w15:docId w15:val="{6FBB77F8-3BD2-4E8E-B951-AC70ABE9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F048F"/>
    <w:pPr>
      <w:ind w:left="720"/>
      <w:contextualSpacing/>
    </w:pPr>
  </w:style>
  <w:style w:type="paragraph" w:styleId="Header">
    <w:name w:val="header"/>
    <w:basedOn w:val="Normal"/>
    <w:link w:val="HeaderChar"/>
    <w:uiPriority w:val="99"/>
    <w:unhideWhenUsed/>
    <w:rsid w:val="001F0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E6A"/>
  </w:style>
  <w:style w:type="paragraph" w:styleId="Footer">
    <w:name w:val="footer"/>
    <w:basedOn w:val="Normal"/>
    <w:link w:val="FooterChar"/>
    <w:uiPriority w:val="99"/>
    <w:unhideWhenUsed/>
    <w:rsid w:val="001F0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E6A"/>
  </w:style>
  <w:style w:type="paragraph" w:styleId="BalloonText">
    <w:name w:val="Balloon Text"/>
    <w:basedOn w:val="Normal"/>
    <w:link w:val="BalloonTextChar"/>
    <w:uiPriority w:val="99"/>
    <w:semiHidden/>
    <w:unhideWhenUsed/>
    <w:rsid w:val="003B06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6BF"/>
    <w:rPr>
      <w:rFonts w:ascii="Segoe UI" w:hAnsi="Segoe UI" w:cs="Segoe UI"/>
      <w:sz w:val="18"/>
      <w:szCs w:val="18"/>
    </w:rPr>
  </w:style>
  <w:style w:type="paragraph" w:customStyle="1" w:styleId="ecxmsolistparagraph">
    <w:name w:val="ecxmsolistparagraph"/>
    <w:basedOn w:val="Normal"/>
    <w:rsid w:val="00D4199B"/>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D5E1E"/>
    <w:rPr>
      <w:sz w:val="16"/>
      <w:szCs w:val="16"/>
    </w:rPr>
  </w:style>
  <w:style w:type="paragraph" w:styleId="CommentText">
    <w:name w:val="annotation text"/>
    <w:basedOn w:val="Normal"/>
    <w:link w:val="CommentTextChar"/>
    <w:uiPriority w:val="99"/>
    <w:semiHidden/>
    <w:unhideWhenUsed/>
    <w:rsid w:val="00AD5E1E"/>
    <w:pPr>
      <w:spacing w:line="240" w:lineRule="auto"/>
    </w:pPr>
    <w:rPr>
      <w:sz w:val="20"/>
      <w:szCs w:val="20"/>
    </w:rPr>
  </w:style>
  <w:style w:type="character" w:customStyle="1" w:styleId="CommentTextChar">
    <w:name w:val="Comment Text Char"/>
    <w:basedOn w:val="DefaultParagraphFont"/>
    <w:link w:val="CommentText"/>
    <w:uiPriority w:val="99"/>
    <w:semiHidden/>
    <w:rsid w:val="00AD5E1E"/>
    <w:rPr>
      <w:sz w:val="20"/>
      <w:szCs w:val="20"/>
    </w:rPr>
  </w:style>
  <w:style w:type="paragraph" w:styleId="CommentSubject">
    <w:name w:val="annotation subject"/>
    <w:basedOn w:val="CommentText"/>
    <w:next w:val="CommentText"/>
    <w:link w:val="CommentSubjectChar"/>
    <w:uiPriority w:val="99"/>
    <w:semiHidden/>
    <w:unhideWhenUsed/>
    <w:rsid w:val="00AD5E1E"/>
    <w:rPr>
      <w:b/>
      <w:bCs/>
    </w:rPr>
  </w:style>
  <w:style w:type="character" w:customStyle="1" w:styleId="CommentSubjectChar">
    <w:name w:val="Comment Subject Char"/>
    <w:basedOn w:val="CommentTextChar"/>
    <w:link w:val="CommentSubject"/>
    <w:uiPriority w:val="99"/>
    <w:semiHidden/>
    <w:rsid w:val="00AD5E1E"/>
    <w:rPr>
      <w:b/>
      <w:bCs/>
      <w:sz w:val="20"/>
      <w:szCs w:val="20"/>
    </w:rPr>
  </w:style>
  <w:style w:type="character" w:customStyle="1" w:styleId="ListParagraphChar">
    <w:name w:val="List Paragraph Char"/>
    <w:basedOn w:val="DefaultParagraphFont"/>
    <w:link w:val="ListParagraph"/>
    <w:uiPriority w:val="34"/>
    <w:rsid w:val="00350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F93C9-40AE-4E60-A0DC-5650B5C25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Shamsaldin</dc:creator>
  <cp:keywords/>
  <dc:description/>
  <cp:lastModifiedBy>Bader Al Wegyyan</cp:lastModifiedBy>
  <cp:revision>2</cp:revision>
  <cp:lastPrinted>2018-04-08T11:09:00Z</cp:lastPrinted>
  <dcterms:created xsi:type="dcterms:W3CDTF">2018-05-03T05:03:00Z</dcterms:created>
  <dcterms:modified xsi:type="dcterms:W3CDTF">2018-05-03T05:03:00Z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3c39c491-8524-4884-b563-f9aad2587027</vt:lpwstr>
  </property>
  <property fmtid="{D5CDD505-2E9C-101B-9397-08002B2CF9AE}" pid="3" name="Classification">
    <vt:lpwstr>Internal</vt:lpwstr>
  </property>
</Properties>
</file>